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81" w:tblpY="1593"/>
        <w:tblOverlap w:val="never"/>
        <w:tblW w:w="147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517"/>
        <w:gridCol w:w="2420"/>
        <w:gridCol w:w="2420"/>
        <w:gridCol w:w="2420"/>
        <w:gridCol w:w="2420"/>
        <w:gridCol w:w="2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Week 1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Jul-19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Jul-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Monday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Tuesday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Wednesday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Morning</w:t>
            </w:r>
            <w:r>
              <w:rPr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color w:val="FF0000"/>
                <w:kern w:val="0"/>
                <w:sz w:val="20"/>
                <w:szCs w:val="20"/>
              </w:rPr>
              <w:t>9-12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9:00 McGill Campus Visit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10:30 Opening Ceremony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11:00 Intro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duction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Hearing Conservation: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Hearing Conservation: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Protection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Epidemiology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Problems and Exam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70C0"/>
                <w:kern w:val="0"/>
                <w:sz w:val="20"/>
                <w:szCs w:val="20"/>
              </w:rPr>
              <w:t>Group professors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Brittany C McKinnon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Afternoon</w:t>
            </w:r>
            <w:r>
              <w:rPr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color w:val="FF0000"/>
                <w:kern w:val="0"/>
                <w:sz w:val="20"/>
                <w:szCs w:val="20"/>
              </w:rPr>
              <w:t>13-16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Hearing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Conservation: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Sound Measurement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Health impacts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of Vibration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Industrial safety: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Machine Guarding, Fall Protection, Fire and Construction Safety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A guided tour of a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 xml:space="preserve">Hazardous Waste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Transfer Center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Paul-Émile Boileau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Wayne Wood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Wayne Wood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Week 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Monday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Tuesday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Wednesday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Morning</w:t>
            </w:r>
            <w:r>
              <w:rPr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color w:val="FF0000"/>
                <w:kern w:val="0"/>
                <w:sz w:val="20"/>
                <w:szCs w:val="20"/>
              </w:rPr>
              <w:t>9-12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Scope of Toxicology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Toxicology: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Risk Assessment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Epidemiology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Toxicology: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Exp.Techniques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Problems and </w:t>
            </w:r>
            <w:r>
              <w:rPr>
                <w:b/>
                <w:bCs/>
                <w:kern w:val="0"/>
                <w:sz w:val="20"/>
                <w:szCs w:val="20"/>
              </w:rPr>
              <w:t>Exam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Brittany C McKinnon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Wayne Wood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Afternoon</w:t>
            </w:r>
            <w:r>
              <w:rPr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color w:val="FF0000"/>
                <w:kern w:val="0"/>
                <w:sz w:val="20"/>
                <w:szCs w:val="20"/>
              </w:rPr>
              <w:t>13-16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English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Communication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Writing English 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English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Communication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English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Communication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Francis Lardy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Francis Lardy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Graham Selkirk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Graham Selkirk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Week 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Jul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Aug-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Aug-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Aug-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Monday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Tuesday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Wednesday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Thursday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Friday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Morning</w:t>
            </w:r>
            <w:r>
              <w:rPr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color w:val="FF0000"/>
                <w:kern w:val="0"/>
                <w:sz w:val="20"/>
                <w:szCs w:val="20"/>
              </w:rPr>
              <w:t>9-12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Health and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Electro-Magnetism: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Electrical Power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Health and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Electro-Magnetism: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Electrical Safety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Occupational Hygiene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and  Monitoring.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CIH Certification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Health and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Electro-Magnetism: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ELF, RF, MW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Closing Ceremony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Jean-Pierre Gauvin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Paul Héroux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Subject</w:t>
            </w:r>
          </w:p>
        </w:tc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>Afternoon</w:t>
            </w:r>
            <w:r>
              <w:rPr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color w:val="FF0000"/>
                <w:kern w:val="0"/>
                <w:sz w:val="20"/>
                <w:szCs w:val="20"/>
              </w:rPr>
              <w:t>13-16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Biostatistics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Respiratory Protection, Medical Surveillance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Ionizing Radiaton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Protection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Confined Space and 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Biosafety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70C0"/>
                <w:kern w:val="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Instructor</w:t>
            </w:r>
          </w:p>
        </w:tc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538ED5"/>
                <w:kern w:val="0"/>
                <w:sz w:val="20"/>
                <w:szCs w:val="20"/>
              </w:rPr>
            </w:pPr>
            <w:r>
              <w:rPr>
                <w:color w:val="538ED5"/>
                <w:kern w:val="0"/>
                <w:sz w:val="20"/>
                <w:szCs w:val="20"/>
              </w:rPr>
              <w:t>Brittany C McKinnon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color w:val="4F81BD"/>
                <w:kern w:val="0"/>
                <w:sz w:val="20"/>
                <w:szCs w:val="20"/>
              </w:rPr>
            </w:pPr>
            <w:r>
              <w:rPr>
                <w:color w:val="4F81BD"/>
                <w:kern w:val="0"/>
                <w:sz w:val="20"/>
                <w:szCs w:val="20"/>
              </w:rPr>
              <w:t>Pietro Gasparrini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4F81BD"/>
                <w:kern w:val="0"/>
                <w:sz w:val="20"/>
                <w:szCs w:val="20"/>
              </w:rPr>
            </w:pPr>
            <w:r>
              <w:rPr>
                <w:color w:val="4F81BD"/>
                <w:kern w:val="0"/>
                <w:sz w:val="20"/>
                <w:szCs w:val="20"/>
              </w:rPr>
              <w:t>Jean-Pierre Gauvin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4F81BD"/>
                <w:kern w:val="0"/>
                <w:sz w:val="20"/>
                <w:szCs w:val="20"/>
              </w:rPr>
            </w:pPr>
            <w:r>
              <w:rPr>
                <w:color w:val="4F81BD"/>
                <w:kern w:val="0"/>
                <w:sz w:val="20"/>
                <w:szCs w:val="20"/>
              </w:rPr>
              <w:t>Pietro Gasparrini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4F81BD"/>
                <w:kern w:val="0"/>
                <w:sz w:val="20"/>
                <w:szCs w:val="20"/>
              </w:rPr>
            </w:pPr>
            <w:r>
              <w:rPr>
                <w:color w:val="4F81BD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>麦吉尔大学2018-2019学年暑期班课程安排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13E7A"/>
    <w:rsid w:val="38113E7A"/>
    <w:rsid w:val="75FB6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2018-03-21T08:50:00Z</dcterms:created>
  <dc:creator>Zeng Yuhang</dc:creator>
  <cp:lastModifiedBy>Zeng Yuhang</cp:lastModifiedBy>
  <dcterms:modified xsi:type="dcterms:W3CDTF">2018-03-21T08:53:25Z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