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F2E" w:rsidRDefault="00A20FE1" w:rsidP="00D43F2E">
      <w:pPr>
        <w:spacing w:line="400" w:lineRule="exact"/>
        <w:jc w:val="center"/>
        <w:rPr>
          <w:b/>
          <w:sz w:val="36"/>
          <w:szCs w:val="36"/>
        </w:rPr>
      </w:pPr>
      <w:r w:rsidRPr="00A20FE1">
        <w:rPr>
          <w:rFonts w:hint="eastAsia"/>
          <w:b/>
          <w:sz w:val="36"/>
          <w:szCs w:val="36"/>
        </w:rPr>
        <w:t>2017</w:t>
      </w:r>
      <w:r w:rsidR="008D7627">
        <w:rPr>
          <w:rFonts w:hint="eastAsia"/>
          <w:b/>
          <w:sz w:val="36"/>
          <w:szCs w:val="36"/>
        </w:rPr>
        <w:t>年</w:t>
      </w:r>
      <w:r w:rsidR="00D43F2E">
        <w:rPr>
          <w:rFonts w:hint="eastAsia"/>
          <w:b/>
          <w:sz w:val="36"/>
          <w:szCs w:val="36"/>
        </w:rPr>
        <w:t>浙江大学公共卫生</w:t>
      </w:r>
      <w:r w:rsidR="008D7627">
        <w:rPr>
          <w:rFonts w:hint="eastAsia"/>
          <w:b/>
          <w:sz w:val="36"/>
          <w:szCs w:val="36"/>
        </w:rPr>
        <w:t>探究性实验项目</w:t>
      </w:r>
    </w:p>
    <w:p w:rsidR="00A8574F" w:rsidRPr="00A20FE1" w:rsidRDefault="008D7627" w:rsidP="00D43F2E">
      <w:pPr>
        <w:spacing w:line="400" w:lineRule="exact"/>
        <w:jc w:val="center"/>
        <w:rPr>
          <w:b/>
          <w:sz w:val="36"/>
          <w:szCs w:val="36"/>
        </w:rPr>
      </w:pPr>
      <w:r>
        <w:rPr>
          <w:rFonts w:hint="eastAsia"/>
          <w:b/>
          <w:sz w:val="36"/>
          <w:szCs w:val="36"/>
        </w:rPr>
        <w:t>验收答辩</w:t>
      </w:r>
      <w:r w:rsidR="00D43F2E">
        <w:rPr>
          <w:rFonts w:hint="eastAsia"/>
          <w:b/>
          <w:sz w:val="36"/>
          <w:szCs w:val="36"/>
        </w:rPr>
        <w:t>成绩</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088"/>
        <w:gridCol w:w="759"/>
      </w:tblGrid>
      <w:tr w:rsidR="00D43F2E" w:rsidRPr="002F2355" w:rsidTr="00D43F2E">
        <w:trPr>
          <w:trHeight w:val="425"/>
          <w:tblHeader/>
          <w:jc w:val="center"/>
        </w:trPr>
        <w:tc>
          <w:tcPr>
            <w:tcW w:w="675" w:type="dxa"/>
            <w:vAlign w:val="center"/>
          </w:tcPr>
          <w:p w:rsidR="00D43F2E" w:rsidRPr="002F2355" w:rsidRDefault="00D43F2E" w:rsidP="00A20FE1">
            <w:pPr>
              <w:jc w:val="center"/>
              <w:rPr>
                <w:rFonts w:ascii="Calibri" w:eastAsia="宋体" w:hAnsi="Calibri" w:cs="Times New Roman"/>
                <w:b/>
                <w:szCs w:val="21"/>
              </w:rPr>
            </w:pPr>
            <w:r>
              <w:rPr>
                <w:rFonts w:ascii="Calibri" w:eastAsia="宋体" w:hAnsi="Calibri" w:cs="Times New Roman" w:hint="eastAsia"/>
                <w:b/>
                <w:szCs w:val="21"/>
              </w:rPr>
              <w:t>No.</w:t>
            </w:r>
          </w:p>
        </w:tc>
        <w:tc>
          <w:tcPr>
            <w:tcW w:w="7088" w:type="dxa"/>
            <w:vAlign w:val="center"/>
          </w:tcPr>
          <w:p w:rsidR="00D43F2E" w:rsidRPr="002F2355" w:rsidRDefault="00D43F2E" w:rsidP="00D43F2E">
            <w:pPr>
              <w:jc w:val="center"/>
              <w:rPr>
                <w:rFonts w:ascii="Calibri" w:eastAsia="宋体" w:hAnsi="Calibri" w:cs="Times New Roman"/>
                <w:b/>
                <w:szCs w:val="21"/>
              </w:rPr>
            </w:pPr>
            <w:r w:rsidRPr="002F2355">
              <w:rPr>
                <w:rFonts w:ascii="Calibri" w:eastAsia="宋体" w:hAnsi="Calibri" w:cs="Times New Roman" w:hint="eastAsia"/>
                <w:b/>
                <w:szCs w:val="21"/>
              </w:rPr>
              <w:t>项目名称</w:t>
            </w:r>
          </w:p>
        </w:tc>
        <w:tc>
          <w:tcPr>
            <w:tcW w:w="759" w:type="dxa"/>
            <w:vAlign w:val="center"/>
          </w:tcPr>
          <w:p w:rsidR="00D43F2E" w:rsidRPr="002F2355" w:rsidRDefault="00D43F2E" w:rsidP="00A20FE1">
            <w:pPr>
              <w:jc w:val="center"/>
              <w:rPr>
                <w:b/>
                <w:szCs w:val="21"/>
              </w:rPr>
            </w:pPr>
            <w:r>
              <w:rPr>
                <w:rFonts w:hint="eastAsia"/>
                <w:b/>
                <w:szCs w:val="21"/>
              </w:rPr>
              <w:t>成绩</w:t>
            </w:r>
          </w:p>
        </w:tc>
      </w:tr>
      <w:tr w:rsidR="00D43F2E" w:rsidRPr="002F2355" w:rsidTr="00D43F2E">
        <w:trPr>
          <w:trHeight w:val="425"/>
          <w:jc w:val="center"/>
        </w:trPr>
        <w:tc>
          <w:tcPr>
            <w:tcW w:w="675" w:type="dxa"/>
            <w:vAlign w:val="center"/>
          </w:tcPr>
          <w:p w:rsidR="00D43F2E" w:rsidRPr="002F2355" w:rsidRDefault="00D43F2E" w:rsidP="00643DFB">
            <w:pPr>
              <w:pStyle w:val="a5"/>
              <w:ind w:firstLineChars="0" w:firstLine="0"/>
              <w:jc w:val="center"/>
              <w:rPr>
                <w:szCs w:val="21"/>
              </w:rPr>
            </w:pPr>
            <w:r>
              <w:rPr>
                <w:rFonts w:hint="eastAsia"/>
                <w:szCs w:val="21"/>
              </w:rPr>
              <w:t>1</w:t>
            </w:r>
          </w:p>
        </w:tc>
        <w:tc>
          <w:tcPr>
            <w:tcW w:w="7088" w:type="dxa"/>
            <w:vAlign w:val="center"/>
          </w:tcPr>
          <w:p w:rsidR="00D43F2E" w:rsidRPr="002F2355" w:rsidRDefault="00D43F2E" w:rsidP="00D43F2E">
            <w:pPr>
              <w:rPr>
                <w:rFonts w:ascii="Calibri" w:eastAsia="宋体" w:hAnsi="Calibri" w:cs="Times New Roman"/>
                <w:szCs w:val="21"/>
              </w:rPr>
            </w:pPr>
            <w:r w:rsidRPr="00A20FE1">
              <w:rPr>
                <w:rFonts w:ascii="Calibri" w:eastAsia="宋体" w:hAnsi="Calibri" w:cs="Times New Roman" w:hint="eastAsia"/>
                <w:szCs w:val="21"/>
              </w:rPr>
              <w:t>杭州市独生子女家庭老年人的养老压力及意愿研究</w:t>
            </w:r>
          </w:p>
        </w:tc>
        <w:tc>
          <w:tcPr>
            <w:tcW w:w="759" w:type="dxa"/>
            <w:vAlign w:val="center"/>
          </w:tcPr>
          <w:p w:rsidR="00D43F2E" w:rsidRPr="00DD745D" w:rsidRDefault="00DD745D" w:rsidP="00A20FE1">
            <w:pPr>
              <w:jc w:val="center"/>
              <w:rPr>
                <w:b/>
                <w:szCs w:val="21"/>
              </w:rPr>
            </w:pPr>
            <w:r w:rsidRPr="00DD745D">
              <w:rPr>
                <w:rFonts w:hint="eastAsia"/>
                <w:b/>
                <w:szCs w:val="21"/>
              </w:rPr>
              <w:t>A</w:t>
            </w:r>
            <w:r w:rsidRPr="00DD745D">
              <w:rPr>
                <w:rFonts w:hint="eastAsia"/>
                <w:b/>
                <w:szCs w:val="21"/>
                <w:vertAlign w:val="superscript"/>
              </w:rPr>
              <w:t>-</w:t>
            </w:r>
          </w:p>
        </w:tc>
      </w:tr>
      <w:tr w:rsidR="00D43F2E" w:rsidRPr="002F2355" w:rsidTr="00D43F2E">
        <w:trPr>
          <w:trHeight w:val="425"/>
          <w:jc w:val="center"/>
        </w:trPr>
        <w:tc>
          <w:tcPr>
            <w:tcW w:w="675" w:type="dxa"/>
            <w:vAlign w:val="center"/>
          </w:tcPr>
          <w:p w:rsidR="00D43F2E" w:rsidRPr="002F2355" w:rsidRDefault="00D43F2E" w:rsidP="00A20FE1">
            <w:pPr>
              <w:pStyle w:val="a5"/>
              <w:ind w:firstLineChars="0" w:firstLine="0"/>
              <w:jc w:val="center"/>
              <w:rPr>
                <w:szCs w:val="21"/>
              </w:rPr>
            </w:pPr>
            <w:r>
              <w:rPr>
                <w:rFonts w:hint="eastAsia"/>
                <w:szCs w:val="21"/>
              </w:rPr>
              <w:t>2</w:t>
            </w:r>
          </w:p>
        </w:tc>
        <w:tc>
          <w:tcPr>
            <w:tcW w:w="7088" w:type="dxa"/>
            <w:vAlign w:val="center"/>
          </w:tcPr>
          <w:p w:rsidR="00D43F2E" w:rsidRPr="002F2355" w:rsidRDefault="00D43F2E" w:rsidP="00D43F2E">
            <w:pPr>
              <w:rPr>
                <w:rFonts w:ascii="Calibri" w:eastAsia="宋体" w:hAnsi="Calibri" w:cs="Times New Roman"/>
                <w:szCs w:val="21"/>
              </w:rPr>
            </w:pPr>
            <w:r w:rsidRPr="00A20FE1">
              <w:rPr>
                <w:rFonts w:ascii="Calibri" w:eastAsia="宋体" w:hAnsi="Calibri" w:cs="Times New Roman" w:hint="eastAsia"/>
                <w:szCs w:val="21"/>
              </w:rPr>
              <w:t>基于神秘顾客法的中国大范围内药店抗生素凭处方销售情况研究</w:t>
            </w:r>
          </w:p>
        </w:tc>
        <w:tc>
          <w:tcPr>
            <w:tcW w:w="759" w:type="dxa"/>
            <w:vAlign w:val="center"/>
          </w:tcPr>
          <w:p w:rsidR="00D43F2E" w:rsidRPr="00DD745D" w:rsidRDefault="00DD745D" w:rsidP="00A20FE1">
            <w:pPr>
              <w:jc w:val="center"/>
              <w:rPr>
                <w:b/>
                <w:szCs w:val="21"/>
              </w:rPr>
            </w:pPr>
            <w:r w:rsidRPr="00DD745D">
              <w:rPr>
                <w:rFonts w:hint="eastAsia"/>
                <w:b/>
                <w:szCs w:val="21"/>
              </w:rPr>
              <w:t>A</w:t>
            </w:r>
            <w:r w:rsidRPr="00DD745D">
              <w:rPr>
                <w:rFonts w:hint="eastAsia"/>
                <w:b/>
                <w:szCs w:val="21"/>
                <w:vertAlign w:val="superscript"/>
              </w:rPr>
              <w:t>-</w:t>
            </w:r>
          </w:p>
        </w:tc>
      </w:tr>
      <w:tr w:rsidR="00D43F2E" w:rsidRPr="002F2355" w:rsidTr="00D43F2E">
        <w:trPr>
          <w:trHeight w:val="425"/>
          <w:jc w:val="center"/>
        </w:trPr>
        <w:tc>
          <w:tcPr>
            <w:tcW w:w="675" w:type="dxa"/>
            <w:vAlign w:val="center"/>
          </w:tcPr>
          <w:p w:rsidR="00D43F2E" w:rsidRPr="002F2355" w:rsidRDefault="00D43F2E" w:rsidP="00A20FE1">
            <w:pPr>
              <w:pStyle w:val="a5"/>
              <w:ind w:firstLineChars="0" w:firstLine="0"/>
              <w:jc w:val="center"/>
              <w:rPr>
                <w:szCs w:val="21"/>
              </w:rPr>
            </w:pPr>
            <w:r>
              <w:rPr>
                <w:rFonts w:hint="eastAsia"/>
                <w:szCs w:val="21"/>
              </w:rPr>
              <w:t>3</w:t>
            </w:r>
          </w:p>
        </w:tc>
        <w:tc>
          <w:tcPr>
            <w:tcW w:w="7088" w:type="dxa"/>
            <w:vAlign w:val="center"/>
          </w:tcPr>
          <w:p w:rsidR="00D43F2E" w:rsidRPr="002F2355" w:rsidRDefault="00D43F2E" w:rsidP="00D43F2E">
            <w:pPr>
              <w:rPr>
                <w:rFonts w:ascii="Calibri" w:eastAsia="宋体" w:hAnsi="Calibri" w:cs="Times New Roman"/>
                <w:szCs w:val="21"/>
              </w:rPr>
            </w:pPr>
            <w:r w:rsidRPr="00A20FE1">
              <w:rPr>
                <w:rFonts w:ascii="Calibri" w:eastAsia="宋体" w:hAnsi="Calibri" w:cs="Times New Roman"/>
                <w:szCs w:val="21"/>
              </w:rPr>
              <w:t>Association of Individual Saturated Fatty Acids Intake with Total Mortality in a Chinese Nationwide Prospective Cohort Study</w:t>
            </w:r>
          </w:p>
        </w:tc>
        <w:tc>
          <w:tcPr>
            <w:tcW w:w="759" w:type="dxa"/>
            <w:vAlign w:val="center"/>
          </w:tcPr>
          <w:p w:rsidR="00D43F2E" w:rsidRPr="00DD745D" w:rsidRDefault="00DD745D" w:rsidP="00A20FE1">
            <w:pPr>
              <w:jc w:val="center"/>
              <w:rPr>
                <w:b/>
                <w:szCs w:val="21"/>
              </w:rPr>
            </w:pPr>
            <w:r w:rsidRPr="00DD745D">
              <w:rPr>
                <w:rFonts w:hint="eastAsia"/>
                <w:b/>
                <w:szCs w:val="21"/>
              </w:rPr>
              <w:t>B</w:t>
            </w:r>
            <w:r w:rsidRPr="00DD745D">
              <w:rPr>
                <w:rFonts w:hint="eastAsia"/>
                <w:b/>
                <w:szCs w:val="21"/>
                <w:vertAlign w:val="superscript"/>
              </w:rPr>
              <w:t>+</w:t>
            </w:r>
          </w:p>
        </w:tc>
      </w:tr>
      <w:tr w:rsidR="00D43F2E" w:rsidRPr="002F2355" w:rsidTr="00D43F2E">
        <w:trPr>
          <w:trHeight w:val="425"/>
          <w:jc w:val="center"/>
        </w:trPr>
        <w:tc>
          <w:tcPr>
            <w:tcW w:w="675" w:type="dxa"/>
            <w:vAlign w:val="center"/>
          </w:tcPr>
          <w:p w:rsidR="00D43F2E" w:rsidRPr="002F2355" w:rsidRDefault="00D43F2E" w:rsidP="00A20FE1">
            <w:pPr>
              <w:pStyle w:val="a5"/>
              <w:ind w:firstLineChars="0" w:firstLine="0"/>
              <w:jc w:val="center"/>
              <w:rPr>
                <w:szCs w:val="21"/>
              </w:rPr>
            </w:pPr>
            <w:r>
              <w:rPr>
                <w:rFonts w:hint="eastAsia"/>
                <w:szCs w:val="21"/>
              </w:rPr>
              <w:t>4</w:t>
            </w:r>
          </w:p>
        </w:tc>
        <w:tc>
          <w:tcPr>
            <w:tcW w:w="7088" w:type="dxa"/>
            <w:vAlign w:val="center"/>
          </w:tcPr>
          <w:p w:rsidR="00D43F2E" w:rsidRPr="002F2355" w:rsidRDefault="00D43F2E" w:rsidP="00D43F2E">
            <w:pPr>
              <w:rPr>
                <w:rFonts w:ascii="Calibri" w:eastAsia="宋体" w:hAnsi="Calibri" w:cs="Times New Roman"/>
                <w:szCs w:val="21"/>
              </w:rPr>
            </w:pPr>
            <w:r w:rsidRPr="00A20FE1">
              <w:rPr>
                <w:rFonts w:ascii="Calibri" w:eastAsia="宋体" w:hAnsi="Calibri" w:cs="Times New Roman" w:hint="eastAsia"/>
                <w:szCs w:val="21"/>
              </w:rPr>
              <w:t>丙烯酰胺暴露致斑马鱼胚胎心血管发育毒性和氧化损伤效应</w:t>
            </w:r>
          </w:p>
        </w:tc>
        <w:tc>
          <w:tcPr>
            <w:tcW w:w="759" w:type="dxa"/>
            <w:vAlign w:val="center"/>
          </w:tcPr>
          <w:p w:rsidR="00D43F2E" w:rsidRPr="00DD745D" w:rsidRDefault="00DD745D" w:rsidP="00A20FE1">
            <w:pPr>
              <w:jc w:val="center"/>
              <w:rPr>
                <w:b/>
                <w:szCs w:val="21"/>
              </w:rPr>
            </w:pPr>
            <w:r w:rsidRPr="00DD745D">
              <w:rPr>
                <w:rFonts w:hint="eastAsia"/>
                <w:b/>
                <w:szCs w:val="21"/>
              </w:rPr>
              <w:t>C</w:t>
            </w:r>
            <w:r w:rsidR="007C250A" w:rsidRPr="007C250A">
              <w:rPr>
                <w:rFonts w:hint="eastAsia"/>
                <w:b/>
                <w:szCs w:val="21"/>
                <w:vertAlign w:val="superscript"/>
              </w:rPr>
              <w:t>+</w:t>
            </w:r>
          </w:p>
        </w:tc>
      </w:tr>
      <w:tr w:rsidR="00D43F2E" w:rsidRPr="002F2355" w:rsidTr="00D43F2E">
        <w:trPr>
          <w:trHeight w:val="425"/>
          <w:jc w:val="center"/>
        </w:trPr>
        <w:tc>
          <w:tcPr>
            <w:tcW w:w="675" w:type="dxa"/>
            <w:vAlign w:val="center"/>
          </w:tcPr>
          <w:p w:rsidR="00D43F2E" w:rsidRPr="002F2355" w:rsidRDefault="00D43F2E" w:rsidP="00A20FE1">
            <w:pPr>
              <w:pStyle w:val="a5"/>
              <w:ind w:firstLineChars="0" w:firstLine="0"/>
              <w:jc w:val="center"/>
              <w:rPr>
                <w:szCs w:val="21"/>
              </w:rPr>
            </w:pPr>
            <w:r>
              <w:rPr>
                <w:rFonts w:hint="eastAsia"/>
                <w:szCs w:val="21"/>
              </w:rPr>
              <w:t>5</w:t>
            </w:r>
          </w:p>
        </w:tc>
        <w:tc>
          <w:tcPr>
            <w:tcW w:w="7088" w:type="dxa"/>
            <w:vAlign w:val="center"/>
          </w:tcPr>
          <w:p w:rsidR="00D43F2E" w:rsidRPr="002F2355" w:rsidRDefault="00D43F2E" w:rsidP="00D43F2E">
            <w:pPr>
              <w:rPr>
                <w:rFonts w:ascii="Calibri" w:eastAsia="宋体" w:hAnsi="Calibri" w:cs="Times New Roman"/>
                <w:szCs w:val="21"/>
              </w:rPr>
            </w:pPr>
            <w:r w:rsidRPr="00A20FE1">
              <w:rPr>
                <w:rFonts w:ascii="Calibri" w:eastAsia="宋体" w:hAnsi="Calibri" w:cs="Times New Roman" w:hint="eastAsia"/>
                <w:szCs w:val="21"/>
              </w:rPr>
              <w:t>大学生运动健身类</w:t>
            </w:r>
            <w:r w:rsidRPr="00A20FE1">
              <w:rPr>
                <w:rFonts w:ascii="Calibri" w:eastAsia="宋体" w:hAnsi="Calibri" w:cs="Times New Roman" w:hint="eastAsia"/>
                <w:szCs w:val="21"/>
              </w:rPr>
              <w:t>APP</w:t>
            </w:r>
            <w:r w:rsidRPr="00A20FE1">
              <w:rPr>
                <w:rFonts w:ascii="Calibri" w:eastAsia="宋体" w:hAnsi="Calibri" w:cs="Times New Roman" w:hint="eastAsia"/>
                <w:szCs w:val="21"/>
              </w:rPr>
              <w:t>流行规律研究</w:t>
            </w:r>
          </w:p>
        </w:tc>
        <w:tc>
          <w:tcPr>
            <w:tcW w:w="759" w:type="dxa"/>
            <w:vAlign w:val="center"/>
          </w:tcPr>
          <w:p w:rsidR="00D43F2E" w:rsidRPr="00DD745D" w:rsidRDefault="00DD745D" w:rsidP="00A20FE1">
            <w:pPr>
              <w:jc w:val="center"/>
              <w:rPr>
                <w:b/>
                <w:szCs w:val="21"/>
              </w:rPr>
            </w:pPr>
            <w:r w:rsidRPr="00DD745D">
              <w:rPr>
                <w:rFonts w:hint="eastAsia"/>
                <w:b/>
                <w:szCs w:val="21"/>
              </w:rPr>
              <w:t>C</w:t>
            </w:r>
          </w:p>
        </w:tc>
      </w:tr>
      <w:tr w:rsidR="00D43F2E" w:rsidRPr="002F2355" w:rsidTr="00D43F2E">
        <w:trPr>
          <w:trHeight w:val="425"/>
          <w:jc w:val="center"/>
        </w:trPr>
        <w:tc>
          <w:tcPr>
            <w:tcW w:w="675" w:type="dxa"/>
            <w:vAlign w:val="center"/>
          </w:tcPr>
          <w:p w:rsidR="00D43F2E" w:rsidRPr="002F2355" w:rsidRDefault="00D43F2E" w:rsidP="00A20FE1">
            <w:pPr>
              <w:pStyle w:val="a5"/>
              <w:ind w:firstLineChars="0" w:firstLine="0"/>
              <w:jc w:val="center"/>
              <w:rPr>
                <w:szCs w:val="21"/>
              </w:rPr>
            </w:pPr>
            <w:r>
              <w:rPr>
                <w:rFonts w:hint="eastAsia"/>
                <w:szCs w:val="21"/>
              </w:rPr>
              <w:t>6</w:t>
            </w:r>
          </w:p>
        </w:tc>
        <w:tc>
          <w:tcPr>
            <w:tcW w:w="7088" w:type="dxa"/>
            <w:vAlign w:val="center"/>
          </w:tcPr>
          <w:p w:rsidR="00D43F2E" w:rsidRPr="002F2355" w:rsidRDefault="00D43F2E" w:rsidP="00D43F2E">
            <w:pPr>
              <w:rPr>
                <w:rFonts w:ascii="Calibri" w:eastAsia="宋体" w:hAnsi="Calibri" w:cs="Times New Roman"/>
                <w:szCs w:val="21"/>
              </w:rPr>
            </w:pPr>
            <w:r w:rsidRPr="00A20FE1">
              <w:rPr>
                <w:rFonts w:ascii="Calibri" w:eastAsia="宋体" w:hAnsi="Calibri" w:cs="Times New Roman" w:hint="eastAsia"/>
                <w:szCs w:val="21"/>
              </w:rPr>
              <w:t>交通污染对神经系统</w:t>
            </w:r>
            <w:r w:rsidRPr="00A20FE1">
              <w:rPr>
                <w:rFonts w:ascii="Calibri" w:eastAsia="宋体" w:hAnsi="Calibri" w:cs="Times New Roman" w:hint="eastAsia"/>
                <w:szCs w:val="21"/>
              </w:rPr>
              <w:t>DNA</w:t>
            </w:r>
            <w:r w:rsidRPr="00A20FE1">
              <w:rPr>
                <w:rFonts w:ascii="Calibri" w:eastAsia="宋体" w:hAnsi="Calibri" w:cs="Times New Roman" w:hint="eastAsia"/>
                <w:szCs w:val="21"/>
              </w:rPr>
              <w:t>甲基化水平的影响</w:t>
            </w:r>
          </w:p>
        </w:tc>
        <w:tc>
          <w:tcPr>
            <w:tcW w:w="759" w:type="dxa"/>
            <w:vAlign w:val="center"/>
          </w:tcPr>
          <w:p w:rsidR="00D43F2E" w:rsidRPr="00DD745D" w:rsidRDefault="00DD745D" w:rsidP="00A20FE1">
            <w:pPr>
              <w:jc w:val="center"/>
              <w:rPr>
                <w:b/>
                <w:szCs w:val="21"/>
              </w:rPr>
            </w:pPr>
            <w:r w:rsidRPr="00DD745D">
              <w:rPr>
                <w:rFonts w:hint="eastAsia"/>
                <w:b/>
                <w:szCs w:val="21"/>
              </w:rPr>
              <w:t>C</w:t>
            </w:r>
          </w:p>
        </w:tc>
      </w:tr>
      <w:tr w:rsidR="00D43F2E" w:rsidRPr="002F2355" w:rsidTr="00D43F2E">
        <w:trPr>
          <w:trHeight w:val="425"/>
          <w:jc w:val="center"/>
        </w:trPr>
        <w:tc>
          <w:tcPr>
            <w:tcW w:w="675" w:type="dxa"/>
            <w:vAlign w:val="center"/>
          </w:tcPr>
          <w:p w:rsidR="00D43F2E" w:rsidRPr="002F2355" w:rsidRDefault="00D43F2E" w:rsidP="00A20FE1">
            <w:pPr>
              <w:pStyle w:val="a5"/>
              <w:ind w:firstLineChars="0" w:firstLine="0"/>
              <w:jc w:val="center"/>
              <w:rPr>
                <w:szCs w:val="21"/>
              </w:rPr>
            </w:pPr>
            <w:r>
              <w:rPr>
                <w:rFonts w:hint="eastAsia"/>
                <w:szCs w:val="21"/>
              </w:rPr>
              <w:t>7</w:t>
            </w:r>
          </w:p>
        </w:tc>
        <w:tc>
          <w:tcPr>
            <w:tcW w:w="7088" w:type="dxa"/>
            <w:vAlign w:val="center"/>
          </w:tcPr>
          <w:p w:rsidR="00D43F2E" w:rsidRPr="002F2355" w:rsidRDefault="00D43F2E" w:rsidP="00D43F2E">
            <w:pPr>
              <w:rPr>
                <w:rFonts w:ascii="Calibri" w:eastAsia="宋体" w:hAnsi="Calibri" w:cs="Times New Roman"/>
                <w:szCs w:val="21"/>
              </w:rPr>
            </w:pPr>
            <w:r w:rsidRPr="00A20FE1">
              <w:rPr>
                <w:rFonts w:ascii="Calibri" w:eastAsia="宋体" w:hAnsi="Calibri" w:cs="Times New Roman" w:hint="eastAsia"/>
                <w:szCs w:val="21"/>
              </w:rPr>
              <w:t>锌及其转运蛋白在血管形成中的功能机制</w:t>
            </w:r>
          </w:p>
        </w:tc>
        <w:tc>
          <w:tcPr>
            <w:tcW w:w="759" w:type="dxa"/>
            <w:vAlign w:val="center"/>
          </w:tcPr>
          <w:p w:rsidR="00D43F2E" w:rsidRPr="00DD745D" w:rsidRDefault="00DD745D" w:rsidP="00A20FE1">
            <w:pPr>
              <w:jc w:val="center"/>
              <w:rPr>
                <w:b/>
                <w:szCs w:val="21"/>
              </w:rPr>
            </w:pPr>
            <w:r w:rsidRPr="00DD745D">
              <w:rPr>
                <w:rFonts w:hint="eastAsia"/>
                <w:b/>
                <w:szCs w:val="21"/>
              </w:rPr>
              <w:t>B</w:t>
            </w:r>
          </w:p>
        </w:tc>
      </w:tr>
      <w:tr w:rsidR="00D43F2E" w:rsidRPr="002F2355" w:rsidTr="00D43F2E">
        <w:trPr>
          <w:trHeight w:val="425"/>
          <w:jc w:val="center"/>
        </w:trPr>
        <w:tc>
          <w:tcPr>
            <w:tcW w:w="675" w:type="dxa"/>
            <w:vAlign w:val="center"/>
          </w:tcPr>
          <w:p w:rsidR="00D43F2E" w:rsidRPr="002F2355" w:rsidRDefault="00D43F2E" w:rsidP="00A20FE1">
            <w:pPr>
              <w:pStyle w:val="a5"/>
              <w:ind w:firstLineChars="0" w:firstLine="0"/>
              <w:jc w:val="center"/>
              <w:rPr>
                <w:szCs w:val="21"/>
              </w:rPr>
            </w:pPr>
            <w:r>
              <w:rPr>
                <w:rFonts w:hint="eastAsia"/>
                <w:szCs w:val="21"/>
              </w:rPr>
              <w:t>8</w:t>
            </w:r>
          </w:p>
        </w:tc>
        <w:tc>
          <w:tcPr>
            <w:tcW w:w="7088" w:type="dxa"/>
            <w:vAlign w:val="center"/>
          </w:tcPr>
          <w:p w:rsidR="00D43F2E" w:rsidRPr="002F2355" w:rsidRDefault="00D43F2E" w:rsidP="00D43F2E">
            <w:pPr>
              <w:rPr>
                <w:rFonts w:ascii="Calibri" w:eastAsia="宋体" w:hAnsi="Calibri" w:cs="Times New Roman"/>
                <w:szCs w:val="21"/>
              </w:rPr>
            </w:pPr>
            <w:r w:rsidRPr="00A20FE1">
              <w:rPr>
                <w:rFonts w:ascii="Calibri" w:eastAsia="宋体" w:hAnsi="Calibri" w:cs="Times New Roman" w:hint="eastAsia"/>
                <w:szCs w:val="21"/>
              </w:rPr>
              <w:t>浙江籍炎症性肠病的流行病学调查分析</w:t>
            </w:r>
          </w:p>
        </w:tc>
        <w:tc>
          <w:tcPr>
            <w:tcW w:w="759" w:type="dxa"/>
            <w:vAlign w:val="center"/>
          </w:tcPr>
          <w:p w:rsidR="00D43F2E" w:rsidRPr="00DD745D" w:rsidRDefault="00DD745D" w:rsidP="00A20FE1">
            <w:pPr>
              <w:jc w:val="center"/>
              <w:rPr>
                <w:b/>
                <w:szCs w:val="21"/>
              </w:rPr>
            </w:pPr>
            <w:r w:rsidRPr="00DD745D">
              <w:rPr>
                <w:rFonts w:hint="eastAsia"/>
                <w:b/>
                <w:szCs w:val="21"/>
              </w:rPr>
              <w:t>B</w:t>
            </w:r>
          </w:p>
        </w:tc>
      </w:tr>
      <w:tr w:rsidR="00D43F2E" w:rsidRPr="002F2355" w:rsidTr="00D43F2E">
        <w:trPr>
          <w:trHeight w:val="425"/>
          <w:jc w:val="center"/>
        </w:trPr>
        <w:tc>
          <w:tcPr>
            <w:tcW w:w="675" w:type="dxa"/>
            <w:vAlign w:val="center"/>
          </w:tcPr>
          <w:p w:rsidR="00D43F2E" w:rsidRPr="002F2355" w:rsidRDefault="00D43F2E" w:rsidP="00A20FE1">
            <w:pPr>
              <w:pStyle w:val="a5"/>
              <w:ind w:firstLineChars="0" w:firstLine="0"/>
              <w:jc w:val="center"/>
              <w:rPr>
                <w:szCs w:val="21"/>
              </w:rPr>
            </w:pPr>
            <w:r>
              <w:rPr>
                <w:rFonts w:hint="eastAsia"/>
                <w:szCs w:val="21"/>
              </w:rPr>
              <w:t>9</w:t>
            </w:r>
          </w:p>
        </w:tc>
        <w:tc>
          <w:tcPr>
            <w:tcW w:w="7088" w:type="dxa"/>
            <w:vAlign w:val="center"/>
          </w:tcPr>
          <w:p w:rsidR="00D43F2E" w:rsidRPr="002F2355" w:rsidRDefault="00D43F2E" w:rsidP="00D43F2E">
            <w:pPr>
              <w:rPr>
                <w:rFonts w:ascii="Calibri" w:eastAsia="宋体" w:hAnsi="Calibri" w:cs="Times New Roman"/>
                <w:szCs w:val="21"/>
              </w:rPr>
            </w:pPr>
            <w:r w:rsidRPr="00A20FE1">
              <w:rPr>
                <w:rFonts w:ascii="Calibri" w:eastAsia="宋体" w:hAnsi="Calibri" w:cs="Times New Roman" w:hint="eastAsia"/>
                <w:szCs w:val="21"/>
              </w:rPr>
              <w:t>miR-27a</w:t>
            </w:r>
            <w:r w:rsidRPr="00A20FE1">
              <w:rPr>
                <w:rFonts w:ascii="Calibri" w:eastAsia="宋体" w:hAnsi="Calibri" w:cs="Times New Roman" w:hint="eastAsia"/>
                <w:szCs w:val="21"/>
              </w:rPr>
              <w:t>基因遗传变异促使结直肠癌发生的分子机制</w:t>
            </w:r>
          </w:p>
        </w:tc>
        <w:tc>
          <w:tcPr>
            <w:tcW w:w="759" w:type="dxa"/>
            <w:vAlign w:val="center"/>
          </w:tcPr>
          <w:p w:rsidR="00D43F2E" w:rsidRPr="00DD745D" w:rsidRDefault="00DD745D" w:rsidP="00A20FE1">
            <w:pPr>
              <w:jc w:val="center"/>
              <w:rPr>
                <w:b/>
                <w:szCs w:val="21"/>
              </w:rPr>
            </w:pPr>
            <w:r w:rsidRPr="00DD745D">
              <w:rPr>
                <w:rFonts w:hint="eastAsia"/>
                <w:b/>
                <w:szCs w:val="21"/>
              </w:rPr>
              <w:t>C</w:t>
            </w:r>
          </w:p>
        </w:tc>
      </w:tr>
      <w:tr w:rsidR="00D43F2E" w:rsidRPr="002F2355" w:rsidTr="00D43F2E">
        <w:trPr>
          <w:trHeight w:val="425"/>
          <w:jc w:val="center"/>
        </w:trPr>
        <w:tc>
          <w:tcPr>
            <w:tcW w:w="675" w:type="dxa"/>
            <w:vAlign w:val="center"/>
          </w:tcPr>
          <w:p w:rsidR="00D43F2E" w:rsidRPr="002F2355" w:rsidRDefault="00D43F2E" w:rsidP="00A20FE1">
            <w:pPr>
              <w:pStyle w:val="a5"/>
              <w:ind w:firstLineChars="0" w:firstLine="0"/>
              <w:jc w:val="center"/>
              <w:rPr>
                <w:szCs w:val="21"/>
              </w:rPr>
            </w:pPr>
            <w:r>
              <w:rPr>
                <w:rFonts w:hint="eastAsia"/>
                <w:szCs w:val="21"/>
              </w:rPr>
              <w:t>10</w:t>
            </w:r>
          </w:p>
        </w:tc>
        <w:tc>
          <w:tcPr>
            <w:tcW w:w="7088" w:type="dxa"/>
            <w:vAlign w:val="center"/>
          </w:tcPr>
          <w:p w:rsidR="00D43F2E" w:rsidRPr="002F2355" w:rsidRDefault="00D43F2E" w:rsidP="00D43F2E">
            <w:pPr>
              <w:rPr>
                <w:rFonts w:ascii="Calibri" w:eastAsia="宋体" w:hAnsi="Calibri" w:cs="Times New Roman"/>
                <w:szCs w:val="21"/>
              </w:rPr>
            </w:pPr>
            <w:r w:rsidRPr="00A20FE1">
              <w:rPr>
                <w:rFonts w:ascii="Calibri" w:eastAsia="宋体" w:hAnsi="Calibri" w:cs="Times New Roman" w:hint="eastAsia"/>
                <w:szCs w:val="21"/>
              </w:rPr>
              <w:t>MEHP</w:t>
            </w:r>
            <w:r w:rsidRPr="00A20FE1">
              <w:rPr>
                <w:rFonts w:ascii="Calibri" w:eastAsia="宋体" w:hAnsi="Calibri" w:cs="Times New Roman" w:hint="eastAsia"/>
                <w:szCs w:val="21"/>
              </w:rPr>
              <w:t>对血小板的毒性作用及其机制研究</w:t>
            </w:r>
          </w:p>
        </w:tc>
        <w:tc>
          <w:tcPr>
            <w:tcW w:w="759" w:type="dxa"/>
            <w:vAlign w:val="center"/>
          </w:tcPr>
          <w:p w:rsidR="00D43F2E" w:rsidRPr="00DD745D" w:rsidRDefault="00DD745D" w:rsidP="00A20FE1">
            <w:pPr>
              <w:jc w:val="center"/>
              <w:rPr>
                <w:b/>
                <w:szCs w:val="21"/>
              </w:rPr>
            </w:pPr>
            <w:r w:rsidRPr="00DD745D">
              <w:rPr>
                <w:rFonts w:hint="eastAsia"/>
                <w:b/>
                <w:szCs w:val="21"/>
              </w:rPr>
              <w:t>B</w:t>
            </w:r>
            <w:r w:rsidRPr="00DD745D">
              <w:rPr>
                <w:rFonts w:hint="eastAsia"/>
                <w:b/>
                <w:szCs w:val="21"/>
                <w:vertAlign w:val="superscript"/>
              </w:rPr>
              <w:t>+</w:t>
            </w:r>
          </w:p>
        </w:tc>
      </w:tr>
      <w:tr w:rsidR="00D43F2E" w:rsidRPr="002F2355" w:rsidTr="00D43F2E">
        <w:trPr>
          <w:trHeight w:val="425"/>
          <w:jc w:val="center"/>
        </w:trPr>
        <w:tc>
          <w:tcPr>
            <w:tcW w:w="675" w:type="dxa"/>
            <w:vAlign w:val="center"/>
          </w:tcPr>
          <w:p w:rsidR="00D43F2E" w:rsidRPr="002F2355" w:rsidRDefault="00D43F2E" w:rsidP="00E21BC9">
            <w:pPr>
              <w:pStyle w:val="a5"/>
              <w:ind w:firstLineChars="0" w:firstLine="0"/>
              <w:jc w:val="center"/>
              <w:rPr>
                <w:szCs w:val="21"/>
              </w:rPr>
            </w:pPr>
            <w:r>
              <w:rPr>
                <w:rFonts w:hint="eastAsia"/>
                <w:szCs w:val="21"/>
              </w:rPr>
              <w:t>11</w:t>
            </w:r>
          </w:p>
        </w:tc>
        <w:tc>
          <w:tcPr>
            <w:tcW w:w="7088" w:type="dxa"/>
            <w:vAlign w:val="center"/>
          </w:tcPr>
          <w:p w:rsidR="00D43F2E" w:rsidRPr="002F2355" w:rsidRDefault="00D43F2E" w:rsidP="00D43F2E">
            <w:pPr>
              <w:rPr>
                <w:rFonts w:ascii="Calibri" w:eastAsia="宋体" w:hAnsi="Calibri" w:cs="Times New Roman"/>
                <w:szCs w:val="21"/>
              </w:rPr>
            </w:pPr>
            <w:r w:rsidRPr="00A20FE1">
              <w:rPr>
                <w:rFonts w:ascii="Calibri" w:eastAsia="宋体" w:hAnsi="Calibri" w:cs="Times New Roman" w:hint="eastAsia"/>
                <w:szCs w:val="21"/>
              </w:rPr>
              <w:t>探索小分子低聚肽对肠道菌群以及炎症性肠病的影响</w:t>
            </w:r>
          </w:p>
        </w:tc>
        <w:tc>
          <w:tcPr>
            <w:tcW w:w="759" w:type="dxa"/>
            <w:vAlign w:val="center"/>
          </w:tcPr>
          <w:p w:rsidR="00D43F2E" w:rsidRPr="00DD745D" w:rsidRDefault="00DD745D" w:rsidP="00A20FE1">
            <w:pPr>
              <w:jc w:val="center"/>
              <w:rPr>
                <w:b/>
                <w:szCs w:val="21"/>
              </w:rPr>
            </w:pPr>
            <w:r w:rsidRPr="00DD745D">
              <w:rPr>
                <w:rFonts w:hint="eastAsia"/>
                <w:b/>
                <w:szCs w:val="21"/>
              </w:rPr>
              <w:t>C</w:t>
            </w:r>
            <w:r w:rsidRPr="00DD745D">
              <w:rPr>
                <w:rFonts w:hint="eastAsia"/>
                <w:b/>
                <w:szCs w:val="21"/>
                <w:vertAlign w:val="superscript"/>
              </w:rPr>
              <w:t>+</w:t>
            </w:r>
          </w:p>
        </w:tc>
      </w:tr>
      <w:tr w:rsidR="00D43F2E" w:rsidRPr="002F2355" w:rsidTr="00D43F2E">
        <w:trPr>
          <w:trHeight w:val="425"/>
          <w:jc w:val="center"/>
        </w:trPr>
        <w:tc>
          <w:tcPr>
            <w:tcW w:w="675" w:type="dxa"/>
            <w:vAlign w:val="center"/>
          </w:tcPr>
          <w:p w:rsidR="00D43F2E" w:rsidRPr="002F2355" w:rsidRDefault="00D43F2E" w:rsidP="00490E18">
            <w:pPr>
              <w:pStyle w:val="a5"/>
              <w:ind w:firstLineChars="0" w:firstLine="0"/>
              <w:jc w:val="center"/>
              <w:rPr>
                <w:szCs w:val="21"/>
              </w:rPr>
            </w:pPr>
            <w:r>
              <w:rPr>
                <w:rFonts w:hint="eastAsia"/>
                <w:szCs w:val="21"/>
              </w:rPr>
              <w:t>12</w:t>
            </w:r>
          </w:p>
        </w:tc>
        <w:tc>
          <w:tcPr>
            <w:tcW w:w="7088" w:type="dxa"/>
            <w:vAlign w:val="center"/>
          </w:tcPr>
          <w:p w:rsidR="00D43F2E" w:rsidRPr="002F2355" w:rsidRDefault="00D43F2E" w:rsidP="00D43F2E">
            <w:pPr>
              <w:rPr>
                <w:rFonts w:ascii="Calibri" w:eastAsia="宋体" w:hAnsi="Calibri" w:cs="Times New Roman"/>
                <w:szCs w:val="21"/>
              </w:rPr>
            </w:pPr>
            <w:r w:rsidRPr="00A20FE1">
              <w:rPr>
                <w:rFonts w:ascii="Calibri" w:eastAsia="宋体" w:hAnsi="Calibri" w:cs="Times New Roman" w:hint="eastAsia"/>
                <w:szCs w:val="21"/>
              </w:rPr>
              <w:t>探究</w:t>
            </w:r>
            <w:r w:rsidRPr="00A20FE1">
              <w:rPr>
                <w:rFonts w:ascii="Calibri" w:eastAsia="宋体" w:hAnsi="Calibri" w:cs="Times New Roman" w:hint="eastAsia"/>
                <w:szCs w:val="21"/>
              </w:rPr>
              <w:t>HRCT1-1</w:t>
            </w:r>
            <w:r w:rsidRPr="00A20FE1">
              <w:rPr>
                <w:rFonts w:ascii="Calibri" w:eastAsia="宋体" w:hAnsi="Calibri" w:cs="Times New Roman" w:hint="eastAsia"/>
                <w:szCs w:val="21"/>
              </w:rPr>
              <w:t>对卵巢癌细胞增殖、迁移、侵袭能力的影响</w:t>
            </w:r>
          </w:p>
        </w:tc>
        <w:tc>
          <w:tcPr>
            <w:tcW w:w="759" w:type="dxa"/>
            <w:vAlign w:val="center"/>
          </w:tcPr>
          <w:p w:rsidR="00D43F2E" w:rsidRPr="00DD745D" w:rsidRDefault="00DD745D" w:rsidP="00A20FE1">
            <w:pPr>
              <w:jc w:val="center"/>
              <w:rPr>
                <w:b/>
                <w:szCs w:val="21"/>
              </w:rPr>
            </w:pPr>
            <w:r w:rsidRPr="00DD745D">
              <w:rPr>
                <w:rFonts w:hint="eastAsia"/>
                <w:b/>
                <w:szCs w:val="21"/>
              </w:rPr>
              <w:t>A</w:t>
            </w:r>
            <w:r w:rsidR="005C5AC8" w:rsidRPr="005C5AC8">
              <w:rPr>
                <w:rFonts w:hint="eastAsia"/>
                <w:b/>
                <w:szCs w:val="21"/>
                <w:vertAlign w:val="superscript"/>
              </w:rPr>
              <w:t>+</w:t>
            </w:r>
          </w:p>
        </w:tc>
      </w:tr>
      <w:tr w:rsidR="00D43F2E" w:rsidRPr="002F2355" w:rsidTr="00D43F2E">
        <w:trPr>
          <w:trHeight w:val="425"/>
          <w:jc w:val="center"/>
        </w:trPr>
        <w:tc>
          <w:tcPr>
            <w:tcW w:w="675" w:type="dxa"/>
            <w:vAlign w:val="center"/>
          </w:tcPr>
          <w:p w:rsidR="00D43F2E" w:rsidRPr="002F2355" w:rsidRDefault="00D43F2E" w:rsidP="00BA28F8">
            <w:pPr>
              <w:pStyle w:val="a5"/>
              <w:ind w:firstLineChars="0" w:firstLine="0"/>
              <w:jc w:val="center"/>
              <w:rPr>
                <w:szCs w:val="21"/>
              </w:rPr>
            </w:pPr>
            <w:r>
              <w:rPr>
                <w:rFonts w:hint="eastAsia"/>
                <w:szCs w:val="21"/>
              </w:rPr>
              <w:t>13</w:t>
            </w:r>
          </w:p>
        </w:tc>
        <w:tc>
          <w:tcPr>
            <w:tcW w:w="7088" w:type="dxa"/>
            <w:vAlign w:val="center"/>
          </w:tcPr>
          <w:p w:rsidR="00D43F2E" w:rsidRPr="002F2355" w:rsidRDefault="00D43F2E" w:rsidP="00DD745D">
            <w:pPr>
              <w:rPr>
                <w:rFonts w:ascii="Calibri" w:eastAsia="宋体" w:hAnsi="Calibri" w:cs="Times New Roman"/>
                <w:szCs w:val="21"/>
              </w:rPr>
            </w:pPr>
            <w:r w:rsidRPr="00A20FE1">
              <w:rPr>
                <w:rFonts w:ascii="Calibri" w:eastAsia="宋体" w:hAnsi="Calibri" w:cs="Times New Roman" w:hint="eastAsia"/>
                <w:szCs w:val="21"/>
              </w:rPr>
              <w:t>小鼠</w:t>
            </w:r>
            <w:r w:rsidR="00DD745D">
              <w:rPr>
                <w:rFonts w:ascii="Calibri" w:eastAsia="宋体" w:hAnsi="Calibri" w:cs="Times New Roman" w:hint="eastAsia"/>
                <w:szCs w:val="21"/>
              </w:rPr>
              <w:t>经饮水慢性镉中毒模型建立研究</w:t>
            </w:r>
          </w:p>
        </w:tc>
        <w:tc>
          <w:tcPr>
            <w:tcW w:w="759" w:type="dxa"/>
            <w:vAlign w:val="center"/>
          </w:tcPr>
          <w:p w:rsidR="00D43F2E" w:rsidRPr="00DD745D" w:rsidRDefault="00DD745D" w:rsidP="00A20FE1">
            <w:pPr>
              <w:jc w:val="center"/>
              <w:rPr>
                <w:b/>
                <w:szCs w:val="21"/>
              </w:rPr>
            </w:pPr>
            <w:r w:rsidRPr="00DD745D">
              <w:rPr>
                <w:rFonts w:hint="eastAsia"/>
                <w:b/>
                <w:szCs w:val="21"/>
              </w:rPr>
              <w:t>C</w:t>
            </w:r>
            <w:r w:rsidRPr="00DD745D">
              <w:rPr>
                <w:rFonts w:hint="eastAsia"/>
                <w:b/>
                <w:szCs w:val="21"/>
                <w:vertAlign w:val="superscript"/>
              </w:rPr>
              <w:t>+</w:t>
            </w:r>
          </w:p>
        </w:tc>
      </w:tr>
      <w:tr w:rsidR="00D43F2E" w:rsidRPr="002F2355" w:rsidTr="00D43F2E">
        <w:trPr>
          <w:trHeight w:val="425"/>
          <w:jc w:val="center"/>
        </w:trPr>
        <w:tc>
          <w:tcPr>
            <w:tcW w:w="675" w:type="dxa"/>
            <w:vAlign w:val="center"/>
          </w:tcPr>
          <w:p w:rsidR="00D43F2E" w:rsidRPr="002F2355" w:rsidRDefault="00D43F2E" w:rsidP="00E301AC">
            <w:pPr>
              <w:pStyle w:val="a5"/>
              <w:ind w:firstLineChars="0" w:firstLine="0"/>
              <w:jc w:val="center"/>
              <w:rPr>
                <w:szCs w:val="21"/>
              </w:rPr>
            </w:pPr>
            <w:r>
              <w:rPr>
                <w:rFonts w:hint="eastAsia"/>
                <w:szCs w:val="21"/>
              </w:rPr>
              <w:t>14</w:t>
            </w:r>
          </w:p>
        </w:tc>
        <w:tc>
          <w:tcPr>
            <w:tcW w:w="7088" w:type="dxa"/>
            <w:vAlign w:val="center"/>
          </w:tcPr>
          <w:p w:rsidR="00D43F2E" w:rsidRPr="002F2355" w:rsidRDefault="00D43F2E" w:rsidP="00D43F2E">
            <w:pPr>
              <w:rPr>
                <w:rFonts w:ascii="Calibri" w:eastAsia="宋体" w:hAnsi="Calibri" w:cs="Times New Roman"/>
                <w:szCs w:val="21"/>
              </w:rPr>
            </w:pPr>
            <w:r w:rsidRPr="00A20FE1">
              <w:rPr>
                <w:rFonts w:ascii="Calibri" w:eastAsia="宋体" w:hAnsi="Calibri" w:cs="Times New Roman" w:hint="eastAsia"/>
                <w:szCs w:val="21"/>
              </w:rPr>
              <w:t>乙酰胆碱酯酶在</w:t>
            </w:r>
            <w:r w:rsidRPr="00A20FE1">
              <w:rPr>
                <w:rFonts w:ascii="Calibri" w:eastAsia="宋体" w:hAnsi="Calibri" w:cs="Times New Roman" w:hint="eastAsia"/>
                <w:szCs w:val="21"/>
              </w:rPr>
              <w:t>CPO</w:t>
            </w:r>
            <w:r w:rsidRPr="00A20FE1">
              <w:rPr>
                <w:rFonts w:ascii="Calibri" w:eastAsia="宋体" w:hAnsi="Calibri" w:cs="Times New Roman" w:hint="eastAsia"/>
                <w:szCs w:val="21"/>
              </w:rPr>
              <w:t>诱导的神经细胞凋亡中的作用研究</w:t>
            </w:r>
          </w:p>
        </w:tc>
        <w:tc>
          <w:tcPr>
            <w:tcW w:w="759" w:type="dxa"/>
            <w:vAlign w:val="center"/>
          </w:tcPr>
          <w:p w:rsidR="00D43F2E" w:rsidRPr="00DD745D" w:rsidRDefault="00DD745D" w:rsidP="00A20FE1">
            <w:pPr>
              <w:jc w:val="center"/>
              <w:rPr>
                <w:b/>
                <w:szCs w:val="21"/>
              </w:rPr>
            </w:pPr>
            <w:r w:rsidRPr="00DD745D">
              <w:rPr>
                <w:rFonts w:hint="eastAsia"/>
                <w:b/>
                <w:szCs w:val="21"/>
              </w:rPr>
              <w:t>A</w:t>
            </w:r>
            <w:r w:rsidR="005C5AC8" w:rsidRPr="005C5AC8">
              <w:rPr>
                <w:rFonts w:hint="eastAsia"/>
                <w:b/>
                <w:szCs w:val="21"/>
                <w:vertAlign w:val="superscript"/>
              </w:rPr>
              <w:t>+</w:t>
            </w:r>
          </w:p>
        </w:tc>
      </w:tr>
      <w:tr w:rsidR="00D43F2E" w:rsidRPr="002F2355" w:rsidTr="00D43F2E">
        <w:trPr>
          <w:trHeight w:val="425"/>
          <w:jc w:val="center"/>
        </w:trPr>
        <w:tc>
          <w:tcPr>
            <w:tcW w:w="675" w:type="dxa"/>
            <w:vAlign w:val="center"/>
          </w:tcPr>
          <w:p w:rsidR="00D43F2E" w:rsidRPr="002F2355" w:rsidRDefault="00D43F2E" w:rsidP="00155390">
            <w:pPr>
              <w:pStyle w:val="a5"/>
              <w:ind w:firstLineChars="0" w:firstLine="0"/>
              <w:jc w:val="center"/>
              <w:rPr>
                <w:szCs w:val="21"/>
              </w:rPr>
            </w:pPr>
            <w:r>
              <w:rPr>
                <w:rFonts w:hint="eastAsia"/>
                <w:szCs w:val="21"/>
              </w:rPr>
              <w:t>15</w:t>
            </w:r>
          </w:p>
        </w:tc>
        <w:tc>
          <w:tcPr>
            <w:tcW w:w="7088" w:type="dxa"/>
            <w:vAlign w:val="center"/>
          </w:tcPr>
          <w:p w:rsidR="00D43F2E" w:rsidRPr="002F2355" w:rsidRDefault="00D43F2E" w:rsidP="00D43F2E">
            <w:pPr>
              <w:rPr>
                <w:rFonts w:ascii="Calibri" w:eastAsia="宋体" w:hAnsi="Calibri" w:cs="Times New Roman"/>
                <w:szCs w:val="21"/>
              </w:rPr>
            </w:pPr>
            <w:r w:rsidRPr="00A20FE1">
              <w:rPr>
                <w:rFonts w:ascii="Calibri" w:eastAsia="宋体" w:hAnsi="Calibri" w:cs="Times New Roman" w:hint="eastAsia"/>
                <w:szCs w:val="21"/>
              </w:rPr>
              <w:t>丁酰胆碱脂酶与脂肪代谢的研究</w:t>
            </w:r>
          </w:p>
        </w:tc>
        <w:tc>
          <w:tcPr>
            <w:tcW w:w="759" w:type="dxa"/>
            <w:vAlign w:val="center"/>
          </w:tcPr>
          <w:p w:rsidR="00D43F2E" w:rsidRPr="00DD745D" w:rsidRDefault="00DD745D" w:rsidP="00A20FE1">
            <w:pPr>
              <w:jc w:val="center"/>
              <w:rPr>
                <w:b/>
                <w:szCs w:val="21"/>
              </w:rPr>
            </w:pPr>
            <w:r w:rsidRPr="00DD745D">
              <w:rPr>
                <w:rFonts w:hint="eastAsia"/>
                <w:b/>
                <w:szCs w:val="21"/>
              </w:rPr>
              <w:t>B</w:t>
            </w:r>
            <w:r w:rsidRPr="00DD745D">
              <w:rPr>
                <w:rFonts w:hint="eastAsia"/>
                <w:b/>
                <w:szCs w:val="21"/>
                <w:vertAlign w:val="superscript"/>
              </w:rPr>
              <w:t>+</w:t>
            </w:r>
          </w:p>
        </w:tc>
      </w:tr>
      <w:tr w:rsidR="00D43F2E" w:rsidRPr="002F2355" w:rsidTr="00D43F2E">
        <w:trPr>
          <w:trHeight w:val="425"/>
          <w:jc w:val="center"/>
        </w:trPr>
        <w:tc>
          <w:tcPr>
            <w:tcW w:w="675" w:type="dxa"/>
            <w:vAlign w:val="center"/>
          </w:tcPr>
          <w:p w:rsidR="00D43F2E" w:rsidRPr="002F2355" w:rsidRDefault="00D43F2E" w:rsidP="00C917B9">
            <w:pPr>
              <w:pStyle w:val="a5"/>
              <w:ind w:firstLineChars="0" w:firstLine="0"/>
              <w:jc w:val="center"/>
              <w:rPr>
                <w:szCs w:val="21"/>
              </w:rPr>
            </w:pPr>
            <w:r>
              <w:rPr>
                <w:rFonts w:hint="eastAsia"/>
                <w:szCs w:val="21"/>
              </w:rPr>
              <w:t>16</w:t>
            </w:r>
          </w:p>
        </w:tc>
        <w:tc>
          <w:tcPr>
            <w:tcW w:w="7088" w:type="dxa"/>
            <w:vAlign w:val="center"/>
          </w:tcPr>
          <w:p w:rsidR="00D43F2E" w:rsidRPr="002F2355" w:rsidRDefault="00D43F2E" w:rsidP="00D43F2E">
            <w:pPr>
              <w:rPr>
                <w:rFonts w:ascii="Calibri" w:eastAsia="宋体" w:hAnsi="Calibri" w:cs="Times New Roman"/>
                <w:szCs w:val="21"/>
              </w:rPr>
            </w:pPr>
            <w:r w:rsidRPr="00A20FE1">
              <w:rPr>
                <w:rFonts w:ascii="Calibri" w:eastAsia="宋体" w:hAnsi="Calibri" w:cs="Times New Roman" w:hint="eastAsia"/>
                <w:szCs w:val="21"/>
              </w:rPr>
              <w:t>儿童自闭症的环境流行病学调查</w:t>
            </w:r>
          </w:p>
        </w:tc>
        <w:tc>
          <w:tcPr>
            <w:tcW w:w="759" w:type="dxa"/>
            <w:vAlign w:val="center"/>
          </w:tcPr>
          <w:p w:rsidR="00D43F2E" w:rsidRPr="00DD745D" w:rsidRDefault="00DD745D" w:rsidP="00A20FE1">
            <w:pPr>
              <w:jc w:val="center"/>
              <w:rPr>
                <w:b/>
                <w:szCs w:val="21"/>
              </w:rPr>
            </w:pPr>
            <w:r w:rsidRPr="00DD745D">
              <w:rPr>
                <w:rFonts w:hint="eastAsia"/>
                <w:b/>
                <w:szCs w:val="21"/>
              </w:rPr>
              <w:t>B</w:t>
            </w:r>
            <w:r w:rsidRPr="00DD745D">
              <w:rPr>
                <w:rFonts w:hint="eastAsia"/>
                <w:b/>
                <w:szCs w:val="21"/>
                <w:vertAlign w:val="superscript"/>
              </w:rPr>
              <w:t>-</w:t>
            </w:r>
          </w:p>
        </w:tc>
      </w:tr>
      <w:tr w:rsidR="00D43F2E" w:rsidRPr="002F2355" w:rsidTr="00D43F2E">
        <w:trPr>
          <w:trHeight w:val="425"/>
          <w:jc w:val="center"/>
        </w:trPr>
        <w:tc>
          <w:tcPr>
            <w:tcW w:w="675" w:type="dxa"/>
            <w:vAlign w:val="center"/>
          </w:tcPr>
          <w:p w:rsidR="00D43F2E" w:rsidRPr="002F2355" w:rsidRDefault="00D43F2E" w:rsidP="00A20FE1">
            <w:pPr>
              <w:pStyle w:val="a5"/>
              <w:ind w:firstLineChars="0" w:firstLine="0"/>
              <w:jc w:val="center"/>
              <w:rPr>
                <w:szCs w:val="21"/>
              </w:rPr>
            </w:pPr>
            <w:r>
              <w:rPr>
                <w:rFonts w:hint="eastAsia"/>
                <w:szCs w:val="21"/>
              </w:rPr>
              <w:t>17</w:t>
            </w:r>
          </w:p>
        </w:tc>
        <w:tc>
          <w:tcPr>
            <w:tcW w:w="7088" w:type="dxa"/>
            <w:vAlign w:val="center"/>
          </w:tcPr>
          <w:p w:rsidR="00D43F2E" w:rsidRPr="002F2355" w:rsidRDefault="00D43F2E" w:rsidP="00D43F2E">
            <w:pPr>
              <w:rPr>
                <w:rFonts w:ascii="Calibri" w:eastAsia="宋体" w:hAnsi="Calibri" w:cs="Times New Roman"/>
                <w:szCs w:val="21"/>
              </w:rPr>
            </w:pPr>
            <w:r w:rsidRPr="00A20FE1">
              <w:rPr>
                <w:rFonts w:ascii="Calibri" w:eastAsia="宋体" w:hAnsi="Calibri" w:cs="Times New Roman" w:hint="eastAsia"/>
                <w:szCs w:val="21"/>
              </w:rPr>
              <w:t>大学生睡眠时间与体脂率的相关性研究</w:t>
            </w:r>
          </w:p>
        </w:tc>
        <w:tc>
          <w:tcPr>
            <w:tcW w:w="759" w:type="dxa"/>
            <w:vAlign w:val="center"/>
          </w:tcPr>
          <w:p w:rsidR="00D43F2E" w:rsidRPr="00DD745D" w:rsidRDefault="00DD745D" w:rsidP="00A20FE1">
            <w:pPr>
              <w:jc w:val="center"/>
              <w:rPr>
                <w:b/>
                <w:szCs w:val="21"/>
              </w:rPr>
            </w:pPr>
            <w:r w:rsidRPr="00DD745D">
              <w:rPr>
                <w:rFonts w:hint="eastAsia"/>
                <w:b/>
                <w:szCs w:val="21"/>
              </w:rPr>
              <w:t>C</w:t>
            </w:r>
          </w:p>
        </w:tc>
      </w:tr>
      <w:tr w:rsidR="00D43F2E" w:rsidRPr="002F2355" w:rsidTr="00D43F2E">
        <w:trPr>
          <w:trHeight w:val="425"/>
          <w:jc w:val="center"/>
        </w:trPr>
        <w:tc>
          <w:tcPr>
            <w:tcW w:w="675" w:type="dxa"/>
            <w:vAlign w:val="center"/>
          </w:tcPr>
          <w:p w:rsidR="00D43F2E" w:rsidRPr="002F2355" w:rsidRDefault="00D43F2E" w:rsidP="00A20FE1">
            <w:pPr>
              <w:pStyle w:val="a5"/>
              <w:ind w:firstLineChars="0" w:firstLine="0"/>
              <w:jc w:val="center"/>
              <w:rPr>
                <w:szCs w:val="21"/>
              </w:rPr>
            </w:pPr>
            <w:r>
              <w:rPr>
                <w:rFonts w:hint="eastAsia"/>
                <w:szCs w:val="21"/>
              </w:rPr>
              <w:t>18</w:t>
            </w:r>
          </w:p>
        </w:tc>
        <w:tc>
          <w:tcPr>
            <w:tcW w:w="7088" w:type="dxa"/>
            <w:vAlign w:val="center"/>
          </w:tcPr>
          <w:p w:rsidR="00D43F2E" w:rsidRPr="002F2355" w:rsidRDefault="00D43F2E" w:rsidP="00D43F2E">
            <w:pPr>
              <w:rPr>
                <w:rFonts w:ascii="Calibri" w:eastAsia="宋体" w:hAnsi="Calibri" w:cs="Times New Roman"/>
                <w:szCs w:val="21"/>
              </w:rPr>
            </w:pPr>
            <w:r w:rsidRPr="00A20FE1">
              <w:rPr>
                <w:rFonts w:ascii="Calibri" w:eastAsia="宋体" w:hAnsi="Calibri" w:cs="Times New Roman" w:hint="eastAsia"/>
                <w:szCs w:val="21"/>
              </w:rPr>
              <w:t>浙江大学在校生噩梦障碍患病相关研究</w:t>
            </w:r>
          </w:p>
        </w:tc>
        <w:tc>
          <w:tcPr>
            <w:tcW w:w="759" w:type="dxa"/>
            <w:vAlign w:val="center"/>
          </w:tcPr>
          <w:p w:rsidR="00D43F2E" w:rsidRPr="00DD745D" w:rsidRDefault="00DD745D" w:rsidP="00A20FE1">
            <w:pPr>
              <w:jc w:val="center"/>
              <w:rPr>
                <w:b/>
                <w:szCs w:val="21"/>
              </w:rPr>
            </w:pPr>
            <w:r w:rsidRPr="00DD745D">
              <w:rPr>
                <w:rFonts w:hint="eastAsia"/>
                <w:b/>
                <w:szCs w:val="21"/>
              </w:rPr>
              <w:t>B</w:t>
            </w:r>
          </w:p>
        </w:tc>
      </w:tr>
      <w:tr w:rsidR="00D43F2E" w:rsidRPr="002F2355" w:rsidTr="00D43F2E">
        <w:trPr>
          <w:trHeight w:val="425"/>
          <w:jc w:val="center"/>
        </w:trPr>
        <w:tc>
          <w:tcPr>
            <w:tcW w:w="675" w:type="dxa"/>
            <w:vAlign w:val="center"/>
          </w:tcPr>
          <w:p w:rsidR="00D43F2E" w:rsidRPr="002F2355" w:rsidRDefault="00D43F2E" w:rsidP="00A20FE1">
            <w:pPr>
              <w:pStyle w:val="a5"/>
              <w:ind w:firstLineChars="0" w:firstLine="0"/>
              <w:jc w:val="center"/>
              <w:rPr>
                <w:szCs w:val="21"/>
              </w:rPr>
            </w:pPr>
            <w:r>
              <w:rPr>
                <w:rFonts w:hint="eastAsia"/>
                <w:szCs w:val="21"/>
              </w:rPr>
              <w:t>19</w:t>
            </w:r>
          </w:p>
        </w:tc>
        <w:tc>
          <w:tcPr>
            <w:tcW w:w="7088" w:type="dxa"/>
            <w:vAlign w:val="center"/>
          </w:tcPr>
          <w:p w:rsidR="00D43F2E" w:rsidRPr="002F2355" w:rsidRDefault="00D43F2E" w:rsidP="00D43F2E">
            <w:pPr>
              <w:rPr>
                <w:rFonts w:ascii="Calibri" w:eastAsia="宋体" w:hAnsi="Calibri" w:cs="Times New Roman"/>
                <w:szCs w:val="21"/>
              </w:rPr>
            </w:pPr>
            <w:r w:rsidRPr="00A20FE1">
              <w:rPr>
                <w:rFonts w:ascii="Calibri" w:eastAsia="宋体" w:hAnsi="Calibri" w:cs="Times New Roman" w:hint="eastAsia"/>
                <w:szCs w:val="21"/>
              </w:rPr>
              <w:t>低剂量双酚</w:t>
            </w:r>
            <w:r w:rsidRPr="00A20FE1">
              <w:rPr>
                <w:rFonts w:ascii="Calibri" w:eastAsia="宋体" w:hAnsi="Calibri" w:cs="Times New Roman" w:hint="eastAsia"/>
                <w:szCs w:val="21"/>
              </w:rPr>
              <w:t>A</w:t>
            </w:r>
            <w:r w:rsidRPr="00A20FE1">
              <w:rPr>
                <w:rFonts w:ascii="Calibri" w:eastAsia="宋体" w:hAnsi="Calibri" w:cs="Times New Roman" w:hint="eastAsia"/>
                <w:szCs w:val="21"/>
              </w:rPr>
              <w:t>（</w:t>
            </w:r>
            <w:r w:rsidRPr="00A20FE1">
              <w:rPr>
                <w:rFonts w:ascii="Calibri" w:eastAsia="宋体" w:hAnsi="Calibri" w:cs="Times New Roman" w:hint="eastAsia"/>
                <w:szCs w:val="21"/>
              </w:rPr>
              <w:t>BPA</w:t>
            </w:r>
            <w:r w:rsidRPr="00A20FE1">
              <w:rPr>
                <w:rFonts w:ascii="Calibri" w:eastAsia="宋体" w:hAnsi="Calibri" w:cs="Times New Roman" w:hint="eastAsia"/>
                <w:szCs w:val="21"/>
              </w:rPr>
              <w:t>）暴露对卵巢癌细胞的影响</w:t>
            </w:r>
          </w:p>
        </w:tc>
        <w:tc>
          <w:tcPr>
            <w:tcW w:w="759" w:type="dxa"/>
            <w:vAlign w:val="center"/>
          </w:tcPr>
          <w:p w:rsidR="00D43F2E" w:rsidRPr="00DD745D" w:rsidRDefault="00DD745D" w:rsidP="00A20FE1">
            <w:pPr>
              <w:jc w:val="center"/>
              <w:rPr>
                <w:b/>
                <w:szCs w:val="21"/>
              </w:rPr>
            </w:pPr>
            <w:r w:rsidRPr="00DD745D">
              <w:rPr>
                <w:rFonts w:hint="eastAsia"/>
                <w:b/>
                <w:szCs w:val="21"/>
              </w:rPr>
              <w:t>A</w:t>
            </w:r>
          </w:p>
        </w:tc>
      </w:tr>
      <w:tr w:rsidR="00D43F2E" w:rsidRPr="002F2355" w:rsidTr="00D43F2E">
        <w:trPr>
          <w:trHeight w:val="425"/>
          <w:jc w:val="center"/>
        </w:trPr>
        <w:tc>
          <w:tcPr>
            <w:tcW w:w="675" w:type="dxa"/>
            <w:vAlign w:val="center"/>
          </w:tcPr>
          <w:p w:rsidR="00D43F2E" w:rsidRPr="002F2355" w:rsidRDefault="00D43F2E" w:rsidP="00926E40">
            <w:pPr>
              <w:pStyle w:val="a5"/>
              <w:ind w:firstLineChars="0" w:firstLine="0"/>
              <w:jc w:val="center"/>
              <w:rPr>
                <w:szCs w:val="21"/>
              </w:rPr>
            </w:pPr>
            <w:r>
              <w:rPr>
                <w:rFonts w:hint="eastAsia"/>
                <w:szCs w:val="21"/>
              </w:rPr>
              <w:t>20</w:t>
            </w:r>
          </w:p>
        </w:tc>
        <w:tc>
          <w:tcPr>
            <w:tcW w:w="7088" w:type="dxa"/>
            <w:vAlign w:val="center"/>
          </w:tcPr>
          <w:p w:rsidR="00D43F2E" w:rsidRPr="002F2355" w:rsidRDefault="00D43F2E" w:rsidP="00D43F2E">
            <w:pPr>
              <w:rPr>
                <w:rFonts w:ascii="Calibri" w:eastAsia="宋体" w:hAnsi="Calibri" w:cs="Times New Roman"/>
                <w:szCs w:val="21"/>
              </w:rPr>
            </w:pPr>
            <w:r w:rsidRPr="00A20FE1">
              <w:rPr>
                <w:rFonts w:ascii="Calibri" w:eastAsia="宋体" w:hAnsi="Calibri" w:cs="Times New Roman" w:hint="eastAsia"/>
                <w:szCs w:val="21"/>
              </w:rPr>
              <w:t>全血中</w:t>
            </w:r>
            <w:r w:rsidRPr="00A20FE1">
              <w:rPr>
                <w:rFonts w:ascii="Calibri" w:eastAsia="宋体" w:hAnsi="Calibri" w:cs="Times New Roman" w:hint="eastAsia"/>
                <w:szCs w:val="21"/>
              </w:rPr>
              <w:t>6</w:t>
            </w:r>
            <w:r w:rsidRPr="00A20FE1">
              <w:rPr>
                <w:rFonts w:ascii="Calibri" w:eastAsia="宋体" w:hAnsi="Calibri" w:cs="Times New Roman" w:hint="eastAsia"/>
                <w:szCs w:val="21"/>
              </w:rPr>
              <w:t>种重金属元素与结直肠癌发病的相关性</w:t>
            </w:r>
          </w:p>
        </w:tc>
        <w:tc>
          <w:tcPr>
            <w:tcW w:w="759" w:type="dxa"/>
            <w:vAlign w:val="center"/>
          </w:tcPr>
          <w:p w:rsidR="00D43F2E" w:rsidRPr="00DD745D" w:rsidRDefault="00DD745D" w:rsidP="00A20FE1">
            <w:pPr>
              <w:jc w:val="center"/>
              <w:rPr>
                <w:b/>
                <w:szCs w:val="21"/>
              </w:rPr>
            </w:pPr>
            <w:r w:rsidRPr="00DD745D">
              <w:rPr>
                <w:rFonts w:hint="eastAsia"/>
                <w:b/>
                <w:szCs w:val="21"/>
              </w:rPr>
              <w:t>B</w:t>
            </w:r>
          </w:p>
        </w:tc>
      </w:tr>
      <w:tr w:rsidR="00D43F2E" w:rsidRPr="002F2355" w:rsidTr="00D43F2E">
        <w:trPr>
          <w:trHeight w:val="425"/>
          <w:jc w:val="center"/>
        </w:trPr>
        <w:tc>
          <w:tcPr>
            <w:tcW w:w="675" w:type="dxa"/>
            <w:vAlign w:val="center"/>
          </w:tcPr>
          <w:p w:rsidR="00D43F2E" w:rsidRPr="002F2355" w:rsidRDefault="00D43F2E" w:rsidP="00A20FE1">
            <w:pPr>
              <w:pStyle w:val="a5"/>
              <w:ind w:firstLineChars="0" w:firstLine="0"/>
              <w:jc w:val="center"/>
              <w:rPr>
                <w:szCs w:val="21"/>
              </w:rPr>
            </w:pPr>
            <w:r>
              <w:rPr>
                <w:rFonts w:hint="eastAsia"/>
                <w:szCs w:val="21"/>
              </w:rPr>
              <w:t>21</w:t>
            </w:r>
          </w:p>
        </w:tc>
        <w:tc>
          <w:tcPr>
            <w:tcW w:w="7088" w:type="dxa"/>
            <w:vAlign w:val="center"/>
          </w:tcPr>
          <w:p w:rsidR="00D43F2E" w:rsidRPr="002F2355" w:rsidRDefault="00D43F2E" w:rsidP="00D43F2E">
            <w:pPr>
              <w:rPr>
                <w:rFonts w:ascii="Calibri" w:eastAsia="宋体" w:hAnsi="Calibri" w:cs="Times New Roman"/>
                <w:szCs w:val="21"/>
              </w:rPr>
            </w:pPr>
            <w:r w:rsidRPr="00A20FE1">
              <w:rPr>
                <w:rFonts w:ascii="Calibri" w:eastAsia="宋体" w:hAnsi="Calibri" w:cs="Times New Roman" w:hint="eastAsia"/>
                <w:szCs w:val="21"/>
              </w:rPr>
              <w:t>铁转运蛋白调控机体糖脂代谢的机制研究</w:t>
            </w:r>
          </w:p>
        </w:tc>
        <w:tc>
          <w:tcPr>
            <w:tcW w:w="759" w:type="dxa"/>
            <w:vAlign w:val="center"/>
          </w:tcPr>
          <w:p w:rsidR="00D43F2E" w:rsidRPr="00DD745D" w:rsidRDefault="00DD745D" w:rsidP="00A20FE1">
            <w:pPr>
              <w:jc w:val="center"/>
              <w:rPr>
                <w:b/>
                <w:szCs w:val="21"/>
              </w:rPr>
            </w:pPr>
            <w:r w:rsidRPr="00DD745D">
              <w:rPr>
                <w:rFonts w:hint="eastAsia"/>
                <w:b/>
                <w:szCs w:val="21"/>
              </w:rPr>
              <w:t>A</w:t>
            </w:r>
            <w:r w:rsidR="005C5AC8" w:rsidRPr="005C5AC8">
              <w:rPr>
                <w:rFonts w:hint="eastAsia"/>
                <w:b/>
                <w:szCs w:val="21"/>
                <w:vertAlign w:val="superscript"/>
              </w:rPr>
              <w:t>+</w:t>
            </w:r>
          </w:p>
        </w:tc>
      </w:tr>
      <w:tr w:rsidR="00D43F2E" w:rsidRPr="002F2355" w:rsidTr="00D43F2E">
        <w:trPr>
          <w:trHeight w:val="425"/>
          <w:jc w:val="center"/>
        </w:trPr>
        <w:tc>
          <w:tcPr>
            <w:tcW w:w="675" w:type="dxa"/>
            <w:vAlign w:val="center"/>
          </w:tcPr>
          <w:p w:rsidR="00D43F2E" w:rsidRPr="002F2355" w:rsidRDefault="00D43F2E" w:rsidP="00A20FE1">
            <w:pPr>
              <w:pStyle w:val="a5"/>
              <w:ind w:firstLineChars="0" w:firstLine="0"/>
              <w:jc w:val="center"/>
              <w:rPr>
                <w:szCs w:val="21"/>
              </w:rPr>
            </w:pPr>
            <w:r>
              <w:rPr>
                <w:rFonts w:hint="eastAsia"/>
                <w:szCs w:val="21"/>
              </w:rPr>
              <w:t>22</w:t>
            </w:r>
          </w:p>
        </w:tc>
        <w:tc>
          <w:tcPr>
            <w:tcW w:w="7088" w:type="dxa"/>
            <w:vAlign w:val="center"/>
          </w:tcPr>
          <w:p w:rsidR="00D43F2E" w:rsidRPr="002F2355" w:rsidRDefault="00D43F2E" w:rsidP="00D43F2E">
            <w:pPr>
              <w:rPr>
                <w:rFonts w:ascii="Calibri" w:eastAsia="宋体" w:hAnsi="Calibri" w:cs="Times New Roman"/>
                <w:szCs w:val="21"/>
              </w:rPr>
            </w:pPr>
            <w:r w:rsidRPr="00A20FE1">
              <w:rPr>
                <w:rFonts w:ascii="Calibri" w:eastAsia="宋体" w:hAnsi="Calibri" w:cs="Times New Roman" w:hint="eastAsia"/>
                <w:szCs w:val="21"/>
              </w:rPr>
              <w:t>玉米低聚肽预防高脂饲料导致肥胖胰岛素抵抗小鼠的效果</w:t>
            </w:r>
          </w:p>
        </w:tc>
        <w:tc>
          <w:tcPr>
            <w:tcW w:w="759" w:type="dxa"/>
            <w:vAlign w:val="center"/>
          </w:tcPr>
          <w:p w:rsidR="00D43F2E" w:rsidRPr="00DD745D" w:rsidRDefault="00DD745D" w:rsidP="00A20FE1">
            <w:pPr>
              <w:jc w:val="center"/>
              <w:rPr>
                <w:b/>
                <w:szCs w:val="21"/>
              </w:rPr>
            </w:pPr>
            <w:r w:rsidRPr="00DD745D">
              <w:rPr>
                <w:rFonts w:hint="eastAsia"/>
                <w:b/>
                <w:szCs w:val="21"/>
              </w:rPr>
              <w:t>A</w:t>
            </w:r>
            <w:r w:rsidR="005C5AC8" w:rsidRPr="005C5AC8">
              <w:rPr>
                <w:rFonts w:hint="eastAsia"/>
                <w:b/>
                <w:szCs w:val="21"/>
                <w:vertAlign w:val="superscript"/>
              </w:rPr>
              <w:t>+</w:t>
            </w:r>
          </w:p>
        </w:tc>
      </w:tr>
      <w:tr w:rsidR="00D43F2E" w:rsidRPr="002F2355" w:rsidTr="00D43F2E">
        <w:trPr>
          <w:trHeight w:val="425"/>
          <w:jc w:val="center"/>
        </w:trPr>
        <w:tc>
          <w:tcPr>
            <w:tcW w:w="675" w:type="dxa"/>
            <w:vAlign w:val="center"/>
          </w:tcPr>
          <w:p w:rsidR="00D43F2E" w:rsidRPr="002F2355" w:rsidRDefault="00D43F2E" w:rsidP="00A20FE1">
            <w:pPr>
              <w:pStyle w:val="a5"/>
              <w:ind w:firstLineChars="0" w:firstLine="0"/>
              <w:jc w:val="center"/>
              <w:rPr>
                <w:szCs w:val="21"/>
              </w:rPr>
            </w:pPr>
            <w:r>
              <w:rPr>
                <w:rFonts w:hint="eastAsia"/>
                <w:szCs w:val="21"/>
              </w:rPr>
              <w:t>23</w:t>
            </w:r>
          </w:p>
        </w:tc>
        <w:tc>
          <w:tcPr>
            <w:tcW w:w="7088" w:type="dxa"/>
            <w:vAlign w:val="center"/>
          </w:tcPr>
          <w:p w:rsidR="00D43F2E" w:rsidRPr="002F2355" w:rsidRDefault="00D43F2E" w:rsidP="00D43F2E">
            <w:pPr>
              <w:rPr>
                <w:rFonts w:ascii="Calibri" w:eastAsia="宋体" w:hAnsi="Calibri" w:cs="Times New Roman"/>
                <w:szCs w:val="21"/>
              </w:rPr>
            </w:pPr>
            <w:r w:rsidRPr="00A20FE1">
              <w:rPr>
                <w:rFonts w:ascii="Calibri" w:eastAsia="宋体" w:hAnsi="Calibri" w:cs="Times New Roman" w:hint="eastAsia"/>
                <w:szCs w:val="21"/>
              </w:rPr>
              <w:t>有氧联合无氧运动对超重学生膳食能量限制期间体重和体成分的干预研究</w:t>
            </w:r>
          </w:p>
        </w:tc>
        <w:tc>
          <w:tcPr>
            <w:tcW w:w="759" w:type="dxa"/>
            <w:vAlign w:val="center"/>
          </w:tcPr>
          <w:p w:rsidR="00D43F2E" w:rsidRPr="00DD745D" w:rsidRDefault="00DD745D" w:rsidP="00A20FE1">
            <w:pPr>
              <w:jc w:val="center"/>
              <w:rPr>
                <w:b/>
                <w:szCs w:val="21"/>
              </w:rPr>
            </w:pPr>
            <w:r w:rsidRPr="00DD745D">
              <w:rPr>
                <w:rFonts w:hint="eastAsia"/>
                <w:b/>
                <w:szCs w:val="21"/>
              </w:rPr>
              <w:t>B</w:t>
            </w:r>
            <w:r w:rsidRPr="00DD745D">
              <w:rPr>
                <w:rFonts w:hint="eastAsia"/>
                <w:b/>
                <w:szCs w:val="21"/>
                <w:vertAlign w:val="superscript"/>
              </w:rPr>
              <w:t>+</w:t>
            </w:r>
          </w:p>
        </w:tc>
      </w:tr>
      <w:tr w:rsidR="00D43F2E" w:rsidRPr="009241A3" w:rsidTr="00D43F2E">
        <w:trPr>
          <w:trHeight w:val="425"/>
          <w:jc w:val="center"/>
        </w:trPr>
        <w:tc>
          <w:tcPr>
            <w:tcW w:w="675" w:type="dxa"/>
            <w:vAlign w:val="center"/>
          </w:tcPr>
          <w:p w:rsidR="00D43F2E" w:rsidRPr="009241A3" w:rsidRDefault="00D43F2E" w:rsidP="00A20FE1">
            <w:pPr>
              <w:pStyle w:val="a5"/>
              <w:ind w:firstLineChars="0" w:firstLine="0"/>
              <w:jc w:val="center"/>
              <w:rPr>
                <w:szCs w:val="21"/>
              </w:rPr>
            </w:pPr>
            <w:r>
              <w:rPr>
                <w:rFonts w:hint="eastAsia"/>
                <w:szCs w:val="21"/>
              </w:rPr>
              <w:t>24</w:t>
            </w:r>
          </w:p>
        </w:tc>
        <w:tc>
          <w:tcPr>
            <w:tcW w:w="7088" w:type="dxa"/>
            <w:vAlign w:val="center"/>
          </w:tcPr>
          <w:p w:rsidR="00D43F2E" w:rsidRPr="009241A3" w:rsidRDefault="007C250A" w:rsidP="007C250A">
            <w:pPr>
              <w:rPr>
                <w:rFonts w:ascii="Calibri" w:eastAsia="宋体" w:hAnsi="Calibri" w:cs="Times New Roman"/>
                <w:szCs w:val="21"/>
              </w:rPr>
            </w:pPr>
            <w:r w:rsidRPr="007C250A">
              <w:rPr>
                <w:rFonts w:ascii="Calibri" w:eastAsia="宋体" w:hAnsi="Calibri" w:cs="Times New Roman" w:hint="eastAsia"/>
                <w:szCs w:val="21"/>
              </w:rPr>
              <w:t>大学生中单双相障碍症状特征</w:t>
            </w:r>
            <w:r w:rsidRPr="007C250A">
              <w:rPr>
                <w:rFonts w:ascii="Calibri" w:eastAsia="宋体" w:hAnsi="Calibri" w:cs="Times New Roman" w:hint="eastAsia"/>
                <w:szCs w:val="21"/>
              </w:rPr>
              <w:t xml:space="preserve">: </w:t>
            </w:r>
            <w:r w:rsidRPr="007C250A">
              <w:rPr>
                <w:rFonts w:ascii="Calibri" w:eastAsia="宋体" w:hAnsi="Calibri" w:cs="Times New Roman" w:hint="eastAsia"/>
                <w:szCs w:val="21"/>
              </w:rPr>
              <w:t>谱系相连却各自独立</w:t>
            </w:r>
          </w:p>
        </w:tc>
        <w:tc>
          <w:tcPr>
            <w:tcW w:w="759" w:type="dxa"/>
            <w:vAlign w:val="center"/>
          </w:tcPr>
          <w:p w:rsidR="00D43F2E" w:rsidRPr="00DD745D" w:rsidRDefault="00DD745D" w:rsidP="00A20FE1">
            <w:pPr>
              <w:jc w:val="center"/>
              <w:rPr>
                <w:b/>
                <w:szCs w:val="21"/>
              </w:rPr>
            </w:pPr>
            <w:r w:rsidRPr="00DD745D">
              <w:rPr>
                <w:rFonts w:hint="eastAsia"/>
                <w:b/>
                <w:szCs w:val="21"/>
              </w:rPr>
              <w:t>A</w:t>
            </w:r>
          </w:p>
        </w:tc>
      </w:tr>
      <w:tr w:rsidR="00D43F2E" w:rsidRPr="00F83E2F" w:rsidTr="00D43F2E">
        <w:trPr>
          <w:trHeight w:val="425"/>
          <w:jc w:val="center"/>
        </w:trPr>
        <w:tc>
          <w:tcPr>
            <w:tcW w:w="675" w:type="dxa"/>
            <w:vAlign w:val="center"/>
          </w:tcPr>
          <w:p w:rsidR="00D43F2E" w:rsidRPr="00F83E2F" w:rsidRDefault="00D43F2E" w:rsidP="00A20FE1">
            <w:pPr>
              <w:pStyle w:val="a5"/>
              <w:ind w:firstLineChars="0" w:firstLine="0"/>
              <w:jc w:val="center"/>
              <w:rPr>
                <w:szCs w:val="21"/>
              </w:rPr>
            </w:pPr>
            <w:r>
              <w:rPr>
                <w:rFonts w:hint="eastAsia"/>
                <w:szCs w:val="21"/>
              </w:rPr>
              <w:t>25</w:t>
            </w:r>
          </w:p>
        </w:tc>
        <w:tc>
          <w:tcPr>
            <w:tcW w:w="7088" w:type="dxa"/>
            <w:vAlign w:val="center"/>
          </w:tcPr>
          <w:p w:rsidR="00D43F2E" w:rsidRPr="00F83E2F" w:rsidRDefault="00D43F2E" w:rsidP="00D43F2E">
            <w:pPr>
              <w:rPr>
                <w:rFonts w:ascii="Calibri" w:eastAsia="宋体" w:hAnsi="Calibri" w:cs="Times New Roman"/>
                <w:szCs w:val="21"/>
              </w:rPr>
            </w:pPr>
            <w:r w:rsidRPr="00A20FE1">
              <w:rPr>
                <w:rFonts w:ascii="Calibri" w:eastAsia="宋体" w:hAnsi="Calibri" w:cs="Times New Roman" w:hint="eastAsia"/>
                <w:szCs w:val="21"/>
              </w:rPr>
              <w:t>麝香酮抑制</w:t>
            </w:r>
            <w:r w:rsidRPr="00A20FE1">
              <w:rPr>
                <w:rFonts w:ascii="Calibri" w:eastAsia="宋体" w:hAnsi="Calibri" w:cs="Times New Roman" w:hint="eastAsia"/>
                <w:szCs w:val="21"/>
              </w:rPr>
              <w:t>NLRP3</w:t>
            </w:r>
            <w:r w:rsidRPr="00A20FE1">
              <w:rPr>
                <w:rFonts w:ascii="Calibri" w:eastAsia="宋体" w:hAnsi="Calibri" w:cs="Times New Roman" w:hint="eastAsia"/>
                <w:szCs w:val="21"/>
              </w:rPr>
              <w:t>炎症小体相关研究</w:t>
            </w:r>
          </w:p>
        </w:tc>
        <w:tc>
          <w:tcPr>
            <w:tcW w:w="759" w:type="dxa"/>
            <w:vAlign w:val="center"/>
          </w:tcPr>
          <w:p w:rsidR="00D43F2E" w:rsidRPr="00DD745D" w:rsidRDefault="00DD745D" w:rsidP="00A20FE1">
            <w:pPr>
              <w:jc w:val="center"/>
              <w:rPr>
                <w:b/>
                <w:szCs w:val="21"/>
              </w:rPr>
            </w:pPr>
            <w:r w:rsidRPr="00DD745D">
              <w:rPr>
                <w:rFonts w:hint="eastAsia"/>
                <w:b/>
                <w:szCs w:val="21"/>
              </w:rPr>
              <w:t>A</w:t>
            </w:r>
          </w:p>
        </w:tc>
      </w:tr>
    </w:tbl>
    <w:p w:rsidR="001440D3" w:rsidRDefault="001440D3" w:rsidP="00D43F2E">
      <w:pPr>
        <w:jc w:val="left"/>
      </w:pPr>
    </w:p>
    <w:p w:rsidR="00D43F2E" w:rsidRDefault="00D43F2E" w:rsidP="00D43F2E">
      <w:pPr>
        <w:jc w:val="left"/>
      </w:pPr>
    </w:p>
    <w:p w:rsidR="00D43F2E" w:rsidRDefault="00D43F2E" w:rsidP="00D43F2E">
      <w:pPr>
        <w:jc w:val="right"/>
      </w:pPr>
      <w:r>
        <w:rPr>
          <w:rFonts w:hint="eastAsia"/>
        </w:rPr>
        <w:t>浙江大学公共卫生教学实验中心</w:t>
      </w:r>
    </w:p>
    <w:p w:rsidR="00D43F2E" w:rsidRPr="00D43F2E" w:rsidRDefault="00D43F2E" w:rsidP="00D43F2E">
      <w:pPr>
        <w:jc w:val="right"/>
      </w:pPr>
      <w:r>
        <w:rPr>
          <w:rFonts w:hint="eastAsia"/>
        </w:rPr>
        <w:t>2018</w:t>
      </w:r>
      <w:r>
        <w:rPr>
          <w:rFonts w:hint="eastAsia"/>
        </w:rPr>
        <w:t>年</w:t>
      </w:r>
      <w:r>
        <w:rPr>
          <w:rFonts w:hint="eastAsia"/>
        </w:rPr>
        <w:t>1</w:t>
      </w:r>
      <w:r>
        <w:rPr>
          <w:rFonts w:hint="eastAsia"/>
        </w:rPr>
        <w:t>月</w:t>
      </w:r>
      <w:r>
        <w:rPr>
          <w:rFonts w:hint="eastAsia"/>
        </w:rPr>
        <w:t>21</w:t>
      </w:r>
      <w:r>
        <w:rPr>
          <w:rFonts w:hint="eastAsia"/>
        </w:rPr>
        <w:t>日</w:t>
      </w:r>
    </w:p>
    <w:sectPr w:rsidR="00D43F2E" w:rsidRPr="00D43F2E" w:rsidSect="00A857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4A4" w:rsidRDefault="000004A4" w:rsidP="00A20FE1">
      <w:r>
        <w:separator/>
      </w:r>
    </w:p>
  </w:endnote>
  <w:endnote w:type="continuationSeparator" w:id="1">
    <w:p w:rsidR="000004A4" w:rsidRDefault="000004A4" w:rsidP="00A20F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4A4" w:rsidRDefault="000004A4" w:rsidP="00A20FE1">
      <w:r>
        <w:separator/>
      </w:r>
    </w:p>
  </w:footnote>
  <w:footnote w:type="continuationSeparator" w:id="1">
    <w:p w:rsidR="000004A4" w:rsidRDefault="000004A4" w:rsidP="00A20F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0FE1"/>
    <w:rsid w:val="000004A4"/>
    <w:rsid w:val="001440D3"/>
    <w:rsid w:val="00167ABC"/>
    <w:rsid w:val="005C5AC8"/>
    <w:rsid w:val="007A302A"/>
    <w:rsid w:val="007C250A"/>
    <w:rsid w:val="008A29BE"/>
    <w:rsid w:val="008D7627"/>
    <w:rsid w:val="00A20FE1"/>
    <w:rsid w:val="00A35F54"/>
    <w:rsid w:val="00A8574F"/>
    <w:rsid w:val="00AF19A8"/>
    <w:rsid w:val="00D43F2E"/>
    <w:rsid w:val="00DD745D"/>
    <w:rsid w:val="00F0714A"/>
    <w:rsid w:val="00FA5B14"/>
    <w:rsid w:val="00FE10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7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0F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0FE1"/>
    <w:rPr>
      <w:sz w:val="18"/>
      <w:szCs w:val="18"/>
    </w:rPr>
  </w:style>
  <w:style w:type="paragraph" w:styleId="a4">
    <w:name w:val="footer"/>
    <w:basedOn w:val="a"/>
    <w:link w:val="Char0"/>
    <w:uiPriority w:val="99"/>
    <w:semiHidden/>
    <w:unhideWhenUsed/>
    <w:rsid w:val="00A20FE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20FE1"/>
    <w:rPr>
      <w:sz w:val="18"/>
      <w:szCs w:val="18"/>
    </w:rPr>
  </w:style>
  <w:style w:type="paragraph" w:styleId="a5">
    <w:name w:val="List Paragraph"/>
    <w:basedOn w:val="a"/>
    <w:uiPriority w:val="34"/>
    <w:qFormat/>
    <w:rsid w:val="00A20FE1"/>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131</Words>
  <Characters>749</Characters>
  <Application>Microsoft Office Word</Application>
  <DocSecurity>0</DocSecurity>
  <Lines>6</Lines>
  <Paragraphs>1</Paragraphs>
  <ScaleCrop>false</ScaleCrop>
  <Company>China</Company>
  <LinksUpToDate>false</LinksUpToDate>
  <CharactersWithSpaces>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dc:creator>
  <cp:keywords/>
  <dc:description/>
  <cp:lastModifiedBy>Sky</cp:lastModifiedBy>
  <cp:revision>7</cp:revision>
  <dcterms:created xsi:type="dcterms:W3CDTF">2018-01-20T08:27:00Z</dcterms:created>
  <dcterms:modified xsi:type="dcterms:W3CDTF">2018-01-22T05:22:00Z</dcterms:modified>
</cp:coreProperties>
</file>